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Cs/>
          <w:color w:val="auto"/>
          <w:sz w:val="48"/>
          <w:szCs w:val="48"/>
          <w:highlight w:val="none"/>
        </w:rPr>
      </w:pPr>
      <w:r>
        <w:rPr>
          <w:rFonts w:hint="eastAsia" w:ascii="宋体" w:hAnsi="宋体" w:cs="宋体"/>
          <w:b/>
          <w:color w:val="auto"/>
          <w:spacing w:val="20"/>
          <w:sz w:val="48"/>
          <w:szCs w:val="48"/>
          <w:highlight w:val="none"/>
        </w:rPr>
        <w:t>江苏航运职业技术学院轨道交通产教融合实训基地扶梯项目</w:t>
      </w:r>
    </w:p>
    <w:p>
      <w:pPr>
        <w:jc w:val="center"/>
        <w:rPr>
          <w:rFonts w:ascii="宋体" w:hAnsi="宋体" w:cs="宋体"/>
          <w:bCs/>
          <w:color w:val="auto"/>
          <w:sz w:val="100"/>
          <w:szCs w:val="100"/>
          <w:highlight w:val="none"/>
        </w:rPr>
      </w:pPr>
    </w:p>
    <w:p>
      <w:pPr>
        <w:jc w:val="center"/>
        <w:rPr>
          <w:rFonts w:ascii="宋体" w:hAnsi="宋体" w:cs="宋体"/>
          <w:bCs/>
          <w:color w:val="auto"/>
          <w:sz w:val="100"/>
          <w:szCs w:val="100"/>
          <w:highlight w:val="none"/>
        </w:rPr>
      </w:pPr>
      <w:r>
        <w:rPr>
          <w:rFonts w:hint="eastAsia" w:ascii="宋体" w:hAnsi="宋体" w:cs="宋体"/>
          <w:bCs/>
          <w:color w:val="auto"/>
          <w:sz w:val="100"/>
          <w:szCs w:val="100"/>
          <w:highlight w:val="none"/>
        </w:rPr>
        <w:t>招标文件</w:t>
      </w:r>
    </w:p>
    <w:p>
      <w:pPr>
        <w:pStyle w:val="8"/>
        <w:spacing w:line="500" w:lineRule="exact"/>
        <w:rPr>
          <w:rFonts w:ascii="宋体" w:hAnsi="宋体" w:cs="宋体"/>
          <w:b w:val="0"/>
          <w:bCs/>
          <w:color w:val="auto"/>
          <w:highlight w:val="none"/>
        </w:rPr>
      </w:pPr>
    </w:p>
    <w:p>
      <w:pPr>
        <w:pStyle w:val="8"/>
        <w:spacing w:line="500" w:lineRule="exact"/>
        <w:rPr>
          <w:rFonts w:ascii="宋体" w:hAnsi="宋体" w:cs="宋体"/>
          <w:b w:val="0"/>
          <w:bCs/>
          <w:color w:val="auto"/>
          <w:sz w:val="36"/>
          <w:szCs w:val="36"/>
          <w:highlight w:val="none"/>
        </w:rPr>
      </w:pPr>
      <w:r>
        <w:rPr>
          <w:rFonts w:hint="eastAsia" w:ascii="宋体" w:hAnsi="宋体" w:cs="宋体"/>
          <w:bCs/>
          <w:color w:val="auto"/>
          <w:sz w:val="36"/>
          <w:szCs w:val="36"/>
          <w:highlight w:val="none"/>
        </w:rPr>
        <w:t>采购文件编号：ZRNT20240005</w:t>
      </w:r>
    </w:p>
    <w:p>
      <w:pPr>
        <w:spacing w:line="500" w:lineRule="exact"/>
        <w:ind w:firstLine="420"/>
        <w:jc w:val="center"/>
        <w:rPr>
          <w:rFonts w:ascii="宋体" w:hAnsi="宋体" w:cs="宋体"/>
          <w:b/>
          <w:color w:val="auto"/>
          <w:sz w:val="36"/>
          <w:highlight w:val="none"/>
        </w:rPr>
      </w:pPr>
    </w:p>
    <w:p>
      <w:pPr>
        <w:spacing w:line="500" w:lineRule="exact"/>
        <w:jc w:val="center"/>
        <w:rPr>
          <w:rFonts w:ascii="宋体" w:hAnsi="宋体" w:cs="宋体"/>
          <w:b/>
          <w:color w:val="auto"/>
          <w:sz w:val="36"/>
          <w:highlight w:val="none"/>
        </w:rPr>
      </w:pPr>
    </w:p>
    <w:p>
      <w:pPr>
        <w:spacing w:line="500" w:lineRule="exact"/>
        <w:jc w:val="center"/>
        <w:rPr>
          <w:rFonts w:ascii="宋体" w:hAnsi="宋体" w:cs="宋体"/>
          <w:b/>
          <w:color w:val="auto"/>
          <w:sz w:val="36"/>
          <w:highlight w:val="none"/>
        </w:rPr>
      </w:pPr>
    </w:p>
    <w:p>
      <w:pPr>
        <w:spacing w:line="500" w:lineRule="exact"/>
        <w:jc w:val="center"/>
        <w:rPr>
          <w:rFonts w:ascii="宋体" w:hAnsi="宋体" w:cs="宋体"/>
          <w:color w:val="auto"/>
          <w:sz w:val="32"/>
          <w:highlight w:val="none"/>
        </w:rPr>
      </w:pPr>
      <w:r>
        <w:rPr>
          <w:rFonts w:hint="eastAsia" w:ascii="宋体" w:hAnsi="宋体" w:cs="宋体"/>
          <w:color w:val="auto"/>
          <w:highlight w:val="none"/>
        </w:rPr>
        <w:t>、</w:t>
      </w:r>
    </w:p>
    <w:p>
      <w:pPr>
        <w:rPr>
          <w:rFonts w:ascii="宋体" w:hAnsi="宋体" w:cs="宋体"/>
          <w:color w:val="auto"/>
          <w:sz w:val="32"/>
          <w:highlight w:val="none"/>
        </w:rPr>
      </w:pPr>
    </w:p>
    <w:p>
      <w:pPr>
        <w:pStyle w:val="22"/>
        <w:rPr>
          <w:rFonts w:cs="宋体"/>
          <w:color w:val="auto"/>
          <w:highlight w:val="none"/>
        </w:rPr>
      </w:pPr>
    </w:p>
    <w:p>
      <w:pPr>
        <w:pStyle w:val="72"/>
        <w:rPr>
          <w:rFonts w:ascii="宋体" w:hAnsi="宋体" w:eastAsia="宋体" w:cs="宋体"/>
          <w:color w:val="auto"/>
          <w:sz w:val="32"/>
          <w:highlight w:val="none"/>
        </w:rPr>
      </w:pPr>
    </w:p>
    <w:p>
      <w:pPr>
        <w:pStyle w:val="72"/>
        <w:rPr>
          <w:rFonts w:ascii="宋体" w:hAnsi="宋体" w:eastAsia="宋体" w:cs="宋体"/>
          <w:color w:val="auto"/>
          <w:sz w:val="32"/>
          <w:highlight w:val="none"/>
        </w:rPr>
      </w:pPr>
    </w:p>
    <w:p>
      <w:pPr>
        <w:spacing w:line="500" w:lineRule="exact"/>
        <w:jc w:val="center"/>
        <w:rPr>
          <w:rFonts w:ascii="宋体" w:hAnsi="宋体" w:cs="宋体"/>
          <w:color w:val="auto"/>
          <w:sz w:val="32"/>
          <w:highlight w:val="none"/>
        </w:rPr>
      </w:pPr>
    </w:p>
    <w:p>
      <w:pPr>
        <w:spacing w:line="500" w:lineRule="exact"/>
        <w:jc w:val="center"/>
        <w:rPr>
          <w:rFonts w:ascii="宋体" w:hAnsi="宋体" w:cs="宋体"/>
          <w:color w:val="auto"/>
          <w:sz w:val="32"/>
          <w:highlight w:val="none"/>
        </w:rPr>
      </w:pPr>
    </w:p>
    <w:p>
      <w:pPr>
        <w:adjustRightInd w:val="0"/>
        <w:spacing w:before="120" w:after="120" w:line="500" w:lineRule="exact"/>
        <w:ind w:right="120"/>
        <w:jc w:val="center"/>
        <w:textAlignment w:val="baseline"/>
        <w:rPr>
          <w:rFonts w:ascii="宋体" w:hAnsi="宋体" w:cs="宋体"/>
          <w:b/>
          <w:bCs/>
          <w:color w:val="auto"/>
          <w:sz w:val="32"/>
          <w:highlight w:val="none"/>
        </w:rPr>
      </w:pPr>
    </w:p>
    <w:p>
      <w:pPr>
        <w:adjustRightInd w:val="0"/>
        <w:spacing w:before="120" w:after="120" w:line="500" w:lineRule="exact"/>
        <w:ind w:right="120"/>
        <w:jc w:val="center"/>
        <w:textAlignment w:val="baseline"/>
        <w:rPr>
          <w:rFonts w:ascii="宋体" w:hAnsi="宋体" w:cs="宋体"/>
          <w:b/>
          <w:bCs/>
          <w:color w:val="auto"/>
          <w:sz w:val="32"/>
          <w:highlight w:val="none"/>
        </w:rPr>
      </w:pPr>
      <w:r>
        <w:rPr>
          <w:rFonts w:hint="eastAsia" w:ascii="宋体" w:hAnsi="宋体" w:cs="宋体"/>
          <w:b/>
          <w:bCs/>
          <w:color w:val="auto"/>
          <w:sz w:val="32"/>
          <w:highlight w:val="none"/>
        </w:rPr>
        <w:t>采购单位：江苏航运职业技术学院</w:t>
      </w:r>
    </w:p>
    <w:p>
      <w:pPr>
        <w:adjustRightInd w:val="0"/>
        <w:spacing w:before="120" w:after="120" w:line="500" w:lineRule="exact"/>
        <w:ind w:right="120"/>
        <w:jc w:val="center"/>
        <w:textAlignment w:val="baseline"/>
        <w:rPr>
          <w:rFonts w:ascii="宋体" w:hAnsi="宋体" w:cs="宋体"/>
          <w:b/>
          <w:bCs/>
          <w:color w:val="auto"/>
          <w:sz w:val="32"/>
          <w:highlight w:val="none"/>
        </w:rPr>
      </w:pPr>
      <w:r>
        <w:rPr>
          <w:rFonts w:hint="eastAsia" w:ascii="宋体" w:hAnsi="宋体" w:cs="宋体"/>
          <w:b/>
          <w:bCs/>
          <w:color w:val="auto"/>
          <w:sz w:val="32"/>
          <w:highlight w:val="none"/>
        </w:rPr>
        <w:t>采购代理机构：江苏中润工程建设咨询有限公司</w:t>
      </w:r>
    </w:p>
    <w:p>
      <w:pPr>
        <w:adjustRightInd w:val="0"/>
        <w:spacing w:before="120" w:after="120" w:line="500" w:lineRule="exact"/>
        <w:ind w:right="120"/>
        <w:jc w:val="center"/>
        <w:textAlignment w:val="baseline"/>
        <w:rPr>
          <w:rFonts w:ascii="宋体" w:hAnsi="宋体" w:cs="宋体"/>
          <w:b/>
          <w:bCs/>
          <w:color w:val="auto"/>
          <w:sz w:val="32"/>
          <w:highlight w:val="none"/>
        </w:rPr>
      </w:pPr>
      <w:r>
        <w:rPr>
          <w:rFonts w:hint="eastAsia" w:ascii="宋体" w:hAnsi="宋体" w:cs="宋体"/>
          <w:b/>
          <w:bCs/>
          <w:color w:val="auto"/>
          <w:sz w:val="32"/>
          <w:highlight w:val="none"/>
        </w:rPr>
        <w:t>2024年0</w:t>
      </w:r>
      <w:r>
        <w:rPr>
          <w:rFonts w:hint="eastAsia" w:ascii="宋体" w:hAnsi="宋体" w:cs="宋体"/>
          <w:b/>
          <w:bCs/>
          <w:color w:val="auto"/>
          <w:sz w:val="32"/>
          <w:highlight w:val="none"/>
          <w:lang w:val="en-US" w:eastAsia="zh-CN"/>
        </w:rPr>
        <w:t>2</w:t>
      </w:r>
      <w:r>
        <w:rPr>
          <w:rFonts w:hint="eastAsia" w:ascii="宋体" w:hAnsi="宋体" w:cs="宋体"/>
          <w:b/>
          <w:bCs/>
          <w:color w:val="auto"/>
          <w:sz w:val="32"/>
          <w:highlight w:val="none"/>
        </w:rPr>
        <w:t>月</w:t>
      </w:r>
      <w:r>
        <w:rPr>
          <w:rFonts w:hint="eastAsia" w:ascii="宋体" w:hAnsi="宋体" w:cs="宋体"/>
          <w:b/>
          <w:bCs/>
          <w:color w:val="auto"/>
          <w:sz w:val="32"/>
          <w:highlight w:val="none"/>
          <w:lang w:val="en-US" w:eastAsia="zh-CN"/>
        </w:rPr>
        <w:t>06</w:t>
      </w:r>
      <w:r>
        <w:rPr>
          <w:rFonts w:hint="eastAsia" w:ascii="宋体" w:hAnsi="宋体" w:cs="宋体"/>
          <w:b/>
          <w:bCs/>
          <w:color w:val="auto"/>
          <w:sz w:val="32"/>
          <w:highlight w:val="none"/>
        </w:rPr>
        <w:t>日</w:t>
      </w:r>
    </w:p>
    <w:p>
      <w:pPr>
        <w:adjustRightInd w:val="0"/>
        <w:snapToGrid w:val="0"/>
        <w:ind w:left="-158" w:leftChars="-75"/>
        <w:jc w:val="center"/>
        <w:rPr>
          <w:rFonts w:ascii="宋体" w:hAnsi="宋体" w:cs="宋体"/>
          <w:b/>
          <w:bCs/>
          <w:color w:val="auto"/>
          <w:sz w:val="44"/>
          <w:szCs w:val="44"/>
          <w:highlight w:val="none"/>
        </w:rPr>
      </w:pPr>
    </w:p>
    <w:p>
      <w:pPr>
        <w:adjustRightInd w:val="0"/>
        <w:snapToGrid w:val="0"/>
        <w:ind w:left="-158" w:leftChars="-75"/>
        <w:jc w:val="center"/>
        <w:rPr>
          <w:rFonts w:ascii="宋体" w:hAnsi="宋体" w:cs="宋体"/>
          <w:b/>
          <w:bCs/>
          <w:color w:val="auto"/>
          <w:sz w:val="32"/>
          <w:szCs w:val="32"/>
          <w:highlight w:val="none"/>
        </w:rPr>
      </w:pPr>
      <w:r>
        <w:rPr>
          <w:rFonts w:hint="eastAsia" w:ascii="宋体" w:hAnsi="宋体" w:cs="宋体"/>
          <w:b/>
          <w:bCs/>
          <w:color w:val="auto"/>
          <w:sz w:val="44"/>
          <w:szCs w:val="44"/>
          <w:highlight w:val="none"/>
        </w:rPr>
        <w:t>目 录</w:t>
      </w:r>
    </w:p>
    <w:p>
      <w:pPr>
        <w:tabs>
          <w:tab w:val="left" w:pos="7740"/>
        </w:tabs>
        <w:adjustRightInd w:val="0"/>
        <w:snapToGrid w:val="0"/>
        <w:spacing w:line="1000" w:lineRule="exact"/>
        <w:ind w:firstLine="640" w:firstLineChars="200"/>
        <w:rPr>
          <w:rFonts w:ascii="宋体" w:hAnsi="宋体" w:cs="宋体"/>
          <w:bCs/>
          <w:color w:val="auto"/>
          <w:sz w:val="32"/>
          <w:szCs w:val="32"/>
          <w:highlight w:val="none"/>
        </w:rPr>
      </w:pPr>
    </w:p>
    <w:p>
      <w:pPr>
        <w:tabs>
          <w:tab w:val="left" w:pos="7740"/>
        </w:tabs>
        <w:adjustRightInd w:val="0"/>
        <w:snapToGrid w:val="0"/>
        <w:spacing w:line="1000" w:lineRule="exact"/>
        <w:ind w:firstLine="640" w:firstLineChars="200"/>
        <w:rPr>
          <w:rFonts w:ascii="宋体" w:hAnsi="宋体" w:cs="宋体"/>
          <w:color w:val="auto"/>
          <w:spacing w:val="2"/>
          <w:sz w:val="32"/>
          <w:szCs w:val="32"/>
          <w:highlight w:val="none"/>
        </w:rPr>
      </w:pPr>
      <w:r>
        <w:rPr>
          <w:rFonts w:hint="eastAsia" w:ascii="宋体" w:hAnsi="宋体" w:cs="宋体"/>
          <w:bCs/>
          <w:color w:val="auto"/>
          <w:sz w:val="32"/>
          <w:szCs w:val="32"/>
          <w:highlight w:val="none"/>
        </w:rPr>
        <w:t>第一部分  投标邀请</w:t>
      </w:r>
    </w:p>
    <w:p>
      <w:pPr>
        <w:tabs>
          <w:tab w:val="left" w:pos="7740"/>
        </w:tabs>
        <w:adjustRightInd w:val="0"/>
        <w:snapToGrid w:val="0"/>
        <w:spacing w:line="1000" w:lineRule="exact"/>
        <w:ind w:firstLine="640" w:firstLineChars="200"/>
        <w:rPr>
          <w:rFonts w:ascii="宋体" w:hAnsi="宋体" w:cs="宋体"/>
          <w:color w:val="auto"/>
          <w:spacing w:val="2"/>
          <w:sz w:val="32"/>
          <w:szCs w:val="32"/>
          <w:highlight w:val="none"/>
        </w:rPr>
      </w:pPr>
      <w:r>
        <w:rPr>
          <w:rFonts w:hint="eastAsia" w:ascii="宋体" w:hAnsi="宋体" w:cs="宋体"/>
          <w:bCs/>
          <w:color w:val="auto"/>
          <w:sz w:val="32"/>
          <w:szCs w:val="32"/>
          <w:highlight w:val="none"/>
        </w:rPr>
        <w:t>第二部分  投标须知</w:t>
      </w:r>
    </w:p>
    <w:p>
      <w:pPr>
        <w:tabs>
          <w:tab w:val="left" w:pos="7740"/>
        </w:tabs>
        <w:adjustRightInd w:val="0"/>
        <w:snapToGrid w:val="0"/>
        <w:spacing w:line="1000" w:lineRule="exact"/>
        <w:ind w:firstLine="640" w:firstLineChars="200"/>
        <w:rPr>
          <w:rFonts w:ascii="宋体" w:hAnsi="宋体" w:cs="宋体"/>
          <w:color w:val="auto"/>
          <w:spacing w:val="2"/>
          <w:sz w:val="32"/>
          <w:szCs w:val="32"/>
          <w:highlight w:val="none"/>
        </w:rPr>
      </w:pPr>
      <w:r>
        <w:rPr>
          <w:rFonts w:hint="eastAsia" w:ascii="宋体" w:hAnsi="宋体" w:cs="宋体"/>
          <w:bCs/>
          <w:color w:val="auto"/>
          <w:sz w:val="32"/>
          <w:szCs w:val="32"/>
          <w:highlight w:val="none"/>
        </w:rPr>
        <w:t>第三部分  项目需求</w:t>
      </w:r>
    </w:p>
    <w:p>
      <w:pPr>
        <w:tabs>
          <w:tab w:val="left" w:pos="7740"/>
        </w:tabs>
        <w:adjustRightInd w:val="0"/>
        <w:snapToGrid w:val="0"/>
        <w:spacing w:line="1000" w:lineRule="exact"/>
        <w:ind w:firstLine="640" w:firstLineChars="200"/>
        <w:rPr>
          <w:rFonts w:ascii="宋体" w:hAnsi="宋体" w:cs="宋体"/>
          <w:color w:val="auto"/>
          <w:spacing w:val="2"/>
          <w:sz w:val="32"/>
          <w:szCs w:val="32"/>
          <w:highlight w:val="none"/>
        </w:rPr>
      </w:pPr>
      <w:r>
        <w:rPr>
          <w:rFonts w:hint="eastAsia" w:ascii="宋体" w:hAnsi="宋体" w:cs="宋体"/>
          <w:color w:val="auto"/>
          <w:sz w:val="32"/>
          <w:szCs w:val="32"/>
          <w:highlight w:val="none"/>
        </w:rPr>
        <w:t xml:space="preserve">第四部分  </w:t>
      </w:r>
      <w:r>
        <w:rPr>
          <w:rFonts w:hint="eastAsia" w:ascii="宋体" w:hAnsi="宋体" w:cs="宋体"/>
          <w:bCs/>
          <w:color w:val="auto"/>
          <w:sz w:val="32"/>
          <w:szCs w:val="32"/>
          <w:highlight w:val="none"/>
        </w:rPr>
        <w:t>开标和评标</w:t>
      </w:r>
    </w:p>
    <w:p>
      <w:pPr>
        <w:tabs>
          <w:tab w:val="left" w:pos="7740"/>
        </w:tabs>
        <w:adjustRightInd w:val="0"/>
        <w:snapToGrid w:val="0"/>
        <w:spacing w:line="1000" w:lineRule="exact"/>
        <w:ind w:firstLine="640" w:firstLineChars="200"/>
        <w:rPr>
          <w:rFonts w:ascii="宋体" w:hAnsi="宋体" w:cs="宋体"/>
          <w:color w:val="auto"/>
          <w:spacing w:val="2"/>
          <w:sz w:val="32"/>
          <w:szCs w:val="32"/>
          <w:highlight w:val="none"/>
        </w:rPr>
      </w:pPr>
      <w:r>
        <w:rPr>
          <w:rFonts w:hint="eastAsia" w:ascii="宋体" w:hAnsi="宋体" w:cs="宋体"/>
          <w:bCs/>
          <w:color w:val="auto"/>
          <w:sz w:val="32"/>
          <w:szCs w:val="32"/>
          <w:highlight w:val="none"/>
        </w:rPr>
        <w:t>第五部分  投标文件组成</w:t>
      </w:r>
    </w:p>
    <w:p>
      <w:pPr>
        <w:spacing w:line="500" w:lineRule="exact"/>
        <w:rPr>
          <w:rFonts w:ascii="宋体" w:hAnsi="宋体" w:cs="宋体"/>
          <w:b/>
          <w:color w:val="auto"/>
          <w:sz w:val="32"/>
          <w:szCs w:val="32"/>
          <w:highlight w:val="none"/>
        </w:rPr>
      </w:pPr>
    </w:p>
    <w:p>
      <w:pPr>
        <w:tabs>
          <w:tab w:val="left" w:pos="7740"/>
        </w:tabs>
        <w:spacing w:line="500" w:lineRule="exact"/>
        <w:rPr>
          <w:rFonts w:ascii="宋体" w:hAnsi="宋体" w:cs="宋体"/>
          <w:b/>
          <w:color w:val="auto"/>
          <w:spacing w:val="2"/>
          <w:sz w:val="32"/>
          <w:szCs w:val="32"/>
          <w:highlight w:val="none"/>
        </w:rPr>
      </w:pPr>
    </w:p>
    <w:p>
      <w:pPr>
        <w:tabs>
          <w:tab w:val="left" w:pos="7740"/>
        </w:tabs>
        <w:spacing w:line="500" w:lineRule="exact"/>
        <w:rPr>
          <w:rFonts w:ascii="宋体" w:hAnsi="宋体" w:cs="宋体"/>
          <w:b/>
          <w:color w:val="auto"/>
          <w:spacing w:val="2"/>
          <w:sz w:val="32"/>
          <w:szCs w:val="32"/>
          <w:highlight w:val="none"/>
        </w:rPr>
      </w:pPr>
    </w:p>
    <w:p>
      <w:pPr>
        <w:tabs>
          <w:tab w:val="left" w:pos="7740"/>
        </w:tabs>
        <w:spacing w:line="500" w:lineRule="exact"/>
        <w:rPr>
          <w:rFonts w:ascii="宋体" w:hAnsi="宋体" w:cs="宋体"/>
          <w:b/>
          <w:bCs/>
          <w:color w:val="auto"/>
          <w:sz w:val="32"/>
          <w:szCs w:val="32"/>
          <w:highlight w:val="none"/>
        </w:rPr>
      </w:pPr>
    </w:p>
    <w:p>
      <w:pPr>
        <w:spacing w:line="500" w:lineRule="exact"/>
        <w:outlineLvl w:val="0"/>
        <w:rPr>
          <w:rFonts w:ascii="宋体" w:hAnsi="宋体" w:cs="宋体"/>
          <w:b/>
          <w:color w:val="auto"/>
          <w:sz w:val="44"/>
          <w:szCs w:val="44"/>
          <w:highlight w:val="none"/>
        </w:rPr>
      </w:pPr>
    </w:p>
    <w:p>
      <w:pPr>
        <w:spacing w:line="500" w:lineRule="exact"/>
        <w:outlineLvl w:val="0"/>
        <w:rPr>
          <w:rFonts w:ascii="宋体" w:hAnsi="宋体" w:cs="宋体"/>
          <w:color w:val="auto"/>
          <w:sz w:val="44"/>
          <w:szCs w:val="44"/>
          <w:highlight w:val="none"/>
        </w:rPr>
      </w:pPr>
    </w:p>
    <w:p>
      <w:pPr>
        <w:spacing w:line="500" w:lineRule="exact"/>
        <w:outlineLvl w:val="0"/>
        <w:rPr>
          <w:rFonts w:ascii="宋体" w:hAnsi="宋体" w:cs="宋体"/>
          <w:color w:val="auto"/>
          <w:sz w:val="44"/>
          <w:szCs w:val="44"/>
          <w:highlight w:val="none"/>
        </w:rPr>
      </w:pPr>
    </w:p>
    <w:p>
      <w:pPr>
        <w:spacing w:line="500" w:lineRule="exact"/>
        <w:outlineLvl w:val="0"/>
        <w:rPr>
          <w:rFonts w:ascii="宋体" w:hAnsi="宋体" w:cs="宋体"/>
          <w:color w:val="auto"/>
          <w:sz w:val="44"/>
          <w:szCs w:val="44"/>
          <w:highlight w:val="none"/>
        </w:rPr>
      </w:pPr>
    </w:p>
    <w:p>
      <w:pPr>
        <w:spacing w:line="500" w:lineRule="exact"/>
        <w:outlineLvl w:val="0"/>
        <w:rPr>
          <w:rFonts w:ascii="宋体" w:hAnsi="宋体" w:cs="宋体"/>
          <w:color w:val="auto"/>
          <w:sz w:val="44"/>
          <w:szCs w:val="44"/>
          <w:highlight w:val="none"/>
        </w:rPr>
      </w:pPr>
    </w:p>
    <w:p>
      <w:pPr>
        <w:spacing w:line="500" w:lineRule="exact"/>
        <w:outlineLvl w:val="0"/>
        <w:rPr>
          <w:rFonts w:ascii="宋体" w:hAnsi="宋体" w:cs="宋体"/>
          <w:color w:val="auto"/>
          <w:sz w:val="44"/>
          <w:szCs w:val="44"/>
          <w:highlight w:val="none"/>
        </w:rPr>
      </w:pPr>
    </w:p>
    <w:p>
      <w:pPr>
        <w:spacing w:line="500" w:lineRule="exact"/>
        <w:outlineLvl w:val="0"/>
        <w:rPr>
          <w:rFonts w:ascii="宋体" w:hAnsi="宋体" w:cs="宋体"/>
          <w:color w:val="auto"/>
          <w:sz w:val="44"/>
          <w:szCs w:val="44"/>
          <w:highlight w:val="none"/>
        </w:rPr>
      </w:pPr>
    </w:p>
    <w:p>
      <w:pPr>
        <w:spacing w:line="500" w:lineRule="exact"/>
        <w:outlineLvl w:val="0"/>
        <w:rPr>
          <w:rFonts w:ascii="宋体" w:hAnsi="宋体" w:cs="宋体"/>
          <w:color w:val="auto"/>
          <w:sz w:val="44"/>
          <w:szCs w:val="44"/>
          <w:highlight w:val="none"/>
        </w:rPr>
      </w:pPr>
    </w:p>
    <w:p>
      <w:pPr>
        <w:spacing w:line="500" w:lineRule="exact"/>
        <w:outlineLvl w:val="0"/>
        <w:rPr>
          <w:rFonts w:ascii="宋体" w:hAnsi="宋体" w:cs="宋体"/>
          <w:color w:val="auto"/>
          <w:sz w:val="44"/>
          <w:szCs w:val="44"/>
          <w:highlight w:val="none"/>
        </w:rPr>
      </w:pPr>
    </w:p>
    <w:p>
      <w:pPr>
        <w:adjustRightInd w:val="0"/>
        <w:snapToGrid w:val="0"/>
        <w:spacing w:line="800" w:lineRule="exact"/>
        <w:jc w:val="center"/>
        <w:outlineLvl w:val="0"/>
        <w:rPr>
          <w:rFonts w:ascii="宋体" w:hAnsi="宋体" w:cs="宋体"/>
          <w:b/>
          <w:color w:val="auto"/>
          <w:sz w:val="32"/>
          <w:szCs w:val="32"/>
          <w:highlight w:val="none"/>
        </w:rPr>
      </w:pPr>
    </w:p>
    <w:p>
      <w:pPr>
        <w:adjustRightInd w:val="0"/>
        <w:snapToGrid w:val="0"/>
        <w:spacing w:line="800" w:lineRule="exact"/>
        <w:jc w:val="center"/>
        <w:outlineLvl w:val="0"/>
        <w:rPr>
          <w:rFonts w:ascii="宋体" w:hAnsi="宋体" w:cs="宋体"/>
          <w:b/>
          <w:color w:val="auto"/>
          <w:sz w:val="32"/>
          <w:szCs w:val="32"/>
          <w:highlight w:val="none"/>
        </w:rPr>
      </w:pPr>
      <w:r>
        <w:rPr>
          <w:rFonts w:hint="eastAsia" w:ascii="宋体" w:hAnsi="宋体" w:cs="宋体"/>
          <w:b/>
          <w:color w:val="auto"/>
          <w:sz w:val="36"/>
          <w:szCs w:val="36"/>
          <w:highlight w:val="none"/>
        </w:rPr>
        <w:t xml:space="preserve">第一部分 </w:t>
      </w:r>
      <w:bookmarkStart w:id="0" w:name="OLE_LINK7"/>
      <w:bookmarkStart w:id="1" w:name="OLE_LINK5"/>
      <w:r>
        <w:rPr>
          <w:rFonts w:hint="eastAsia" w:ascii="宋体" w:hAnsi="宋体" w:cs="宋体"/>
          <w:b/>
          <w:color w:val="auto"/>
          <w:sz w:val="36"/>
          <w:szCs w:val="36"/>
          <w:highlight w:val="none"/>
        </w:rPr>
        <w:t>投标邀请</w:t>
      </w:r>
    </w:p>
    <w:p>
      <w:pPr>
        <w:adjustRightInd w:val="0"/>
        <w:snapToGrid w:val="0"/>
        <w:spacing w:line="500" w:lineRule="exact"/>
        <w:jc w:val="center"/>
        <w:outlineLvl w:val="0"/>
        <w:rPr>
          <w:rFonts w:ascii="宋体" w:hAnsi="宋体" w:cs="宋体"/>
          <w:b/>
          <w:color w:val="auto"/>
          <w:sz w:val="32"/>
          <w:szCs w:val="32"/>
          <w:highlight w:val="none"/>
        </w:rPr>
      </w:pPr>
    </w:p>
    <w:p>
      <w:pPr>
        <w:pBdr>
          <w:top w:val="single" w:color="auto" w:sz="4" w:space="1"/>
          <w:left w:val="single" w:color="auto" w:sz="4" w:space="4"/>
          <w:bottom w:val="single" w:color="auto" w:sz="4" w:space="1"/>
          <w:right w:val="single" w:color="auto" w:sz="4" w:space="4"/>
        </w:pBdr>
        <w:adjustRightInd w:val="0"/>
        <w:snapToGrid w:val="0"/>
        <w:spacing w:line="460" w:lineRule="exact"/>
        <w:rPr>
          <w:rFonts w:ascii="宋体" w:hAnsi="宋体" w:cs="宋体"/>
          <w:color w:val="auto"/>
          <w:sz w:val="28"/>
          <w:szCs w:val="28"/>
          <w:highlight w:val="none"/>
        </w:rPr>
      </w:pPr>
      <w:bookmarkStart w:id="2" w:name="OLE_LINK6"/>
      <w:r>
        <w:rPr>
          <w:rFonts w:hint="eastAsia" w:ascii="宋体" w:hAnsi="宋体" w:cs="宋体"/>
          <w:color w:val="auto"/>
          <w:sz w:val="28"/>
          <w:szCs w:val="28"/>
          <w:highlight w:val="none"/>
        </w:rPr>
        <w:t>项目概况</w:t>
      </w:r>
    </w:p>
    <w:p>
      <w:pPr>
        <w:pBdr>
          <w:top w:val="single" w:color="auto" w:sz="4" w:space="1"/>
          <w:left w:val="single" w:color="auto" w:sz="4" w:space="4"/>
          <w:bottom w:val="single" w:color="auto" w:sz="4" w:space="1"/>
          <w:right w:val="single" w:color="auto" w:sz="4" w:space="4"/>
        </w:pBd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 (江苏航运职业技术学院轨道交通产教融合实训基地扶梯项目）的潜在投标人应在江苏航运职业技术学院网站获取招标文件，并于2024年02月</w:t>
      </w:r>
      <w:r>
        <w:rPr>
          <w:rFonts w:hint="eastAsia" w:ascii="宋体" w:hAnsi="宋体" w:cs="宋体"/>
          <w:color w:val="auto"/>
          <w:sz w:val="28"/>
          <w:szCs w:val="28"/>
          <w:highlight w:val="none"/>
          <w:lang w:val="en-US" w:eastAsia="zh-CN"/>
        </w:rPr>
        <w:t>27</w:t>
      </w:r>
      <w:r>
        <w:rPr>
          <w:rFonts w:hint="eastAsia" w:ascii="宋体" w:hAnsi="宋体" w:cs="宋体"/>
          <w:color w:val="auto"/>
          <w:sz w:val="28"/>
          <w:szCs w:val="28"/>
          <w:highlight w:val="none"/>
        </w:rPr>
        <w:t>日</w:t>
      </w:r>
      <w:r>
        <w:rPr>
          <w:rFonts w:hint="eastAsia" w:ascii="宋体" w:hAnsi="宋体" w:cs="宋体"/>
          <w:color w:val="auto"/>
          <w:sz w:val="28"/>
          <w:szCs w:val="28"/>
          <w:highlight w:val="none"/>
          <w:lang w:val="en-US" w:eastAsia="zh-CN"/>
        </w:rPr>
        <w:t>09</w:t>
      </w:r>
      <w:r>
        <w:rPr>
          <w:rFonts w:hint="eastAsia" w:ascii="宋体" w:hAnsi="宋体" w:cs="宋体"/>
          <w:color w:val="auto"/>
          <w:sz w:val="28"/>
          <w:szCs w:val="28"/>
          <w:highlight w:val="none"/>
        </w:rPr>
        <w:t>点</w:t>
      </w:r>
      <w:r>
        <w:rPr>
          <w:rFonts w:hint="eastAsia" w:ascii="宋体" w:hAnsi="宋体" w:cs="宋体"/>
          <w:color w:val="auto"/>
          <w:sz w:val="28"/>
          <w:szCs w:val="28"/>
          <w:highlight w:val="none"/>
          <w:lang w:val="en-US" w:eastAsia="zh-CN"/>
        </w:rPr>
        <w:t>30</w:t>
      </w:r>
      <w:r>
        <w:rPr>
          <w:rFonts w:hint="eastAsia" w:ascii="宋体" w:hAnsi="宋体" w:cs="宋体"/>
          <w:color w:val="auto"/>
          <w:sz w:val="28"/>
          <w:szCs w:val="28"/>
          <w:highlight w:val="none"/>
        </w:rPr>
        <w:t>分（北京时间）前递交投标文件。</w:t>
      </w:r>
    </w:p>
    <w:p>
      <w:pPr>
        <w:adjustRightInd w:val="0"/>
        <w:snapToGrid w:val="0"/>
        <w:spacing w:line="460" w:lineRule="exact"/>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一、项目基本情况</w:t>
      </w:r>
    </w:p>
    <w:p>
      <w:pPr>
        <w:adjustRightInd w:val="0"/>
        <w:snapToGrid w:val="0"/>
        <w:spacing w:line="460" w:lineRule="exact"/>
        <w:ind w:firstLine="560" w:firstLineChars="200"/>
        <w:rPr>
          <w:rFonts w:ascii="宋体" w:hAnsi="宋体" w:cs="宋体"/>
          <w:color w:val="auto"/>
          <w:spacing w:val="7"/>
          <w:kern w:val="0"/>
          <w:sz w:val="28"/>
          <w:szCs w:val="22"/>
          <w:highlight w:val="none"/>
        </w:rPr>
      </w:pPr>
      <w:r>
        <w:rPr>
          <w:rFonts w:hint="eastAsia" w:ascii="宋体" w:hAnsi="宋体" w:cs="宋体"/>
          <w:color w:val="auto"/>
          <w:sz w:val="28"/>
          <w:szCs w:val="28"/>
          <w:highlight w:val="none"/>
        </w:rPr>
        <w:t>项目编号：ZRNT20240005</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项目名称：江苏航运职业技术学院轨道交通产教融合实训基地扶梯项目</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项目类型：货物</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所属行业：工业</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预算金额：35万元</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最高限价：35万元，投标报价超过最高限价按无效标处理。</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采购需求：为满足苏航运职业技术学院轨道交通产教融合实训基地扶梯项目安全使用，招标人拟采购扶梯1台并要求提供设备、安装、扶梯外装饰（侧面采用玻璃）、底坑整改</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质保及维保等相关技术支持与服务详见招标文件。</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合同履行期限：合同签订之日起120天内完成设备的供货、安装与调试，验收合格并交付使用。</w:t>
      </w:r>
    </w:p>
    <w:p>
      <w:pPr>
        <w:adjustRightInd w:val="0"/>
        <w:snapToGrid w:val="0"/>
        <w:spacing w:line="460" w:lineRule="exact"/>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二、申请人的资格要求：</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满足以下条件：具有独立承担民事责任的能力；具有良好的商业信誉和健全的财务会计制度；具有履行合同所必需的设备和专业技术能力；有依法缴纳税收和社会保障资金的良好记录；参加采购活动前三年内，在经营活动中没有重大违法记录。</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2.本项目的特定资格要求：</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2.1供应商</w:t>
      </w:r>
      <w:r>
        <w:rPr>
          <w:rFonts w:hint="eastAsia" w:ascii="宋体" w:hAnsi="宋体" w:cs="宋体"/>
          <w:color w:val="auto"/>
          <w:sz w:val="28"/>
          <w:szCs w:val="28"/>
          <w:highlight w:val="none"/>
          <w:lang w:val="en-US" w:eastAsia="zh-CN"/>
        </w:rPr>
        <w:t>如为电梯制造厂商</w:t>
      </w:r>
      <w:r>
        <w:rPr>
          <w:rFonts w:hint="eastAsia" w:ascii="宋体" w:hAnsi="宋体" w:cs="宋体"/>
          <w:color w:val="auto"/>
          <w:sz w:val="28"/>
          <w:szCs w:val="28"/>
          <w:highlight w:val="none"/>
        </w:rPr>
        <w:t>须具有有效期内的《中华人民共和国特种设备生产许可证》，许可项目：电梯</w:t>
      </w:r>
      <w:r>
        <w:rPr>
          <w:rFonts w:hint="eastAsia" w:ascii="宋体" w:hAnsi="宋体" w:cs="宋体"/>
          <w:color w:val="auto"/>
          <w:sz w:val="28"/>
          <w:szCs w:val="28"/>
          <w:highlight w:val="none"/>
          <w:lang w:val="en-US" w:eastAsia="zh-CN"/>
        </w:rPr>
        <w:t>制造</w:t>
      </w:r>
      <w:r>
        <w:rPr>
          <w:rFonts w:hint="eastAsia" w:ascii="宋体" w:hAnsi="宋体" w:cs="宋体"/>
          <w:color w:val="auto"/>
          <w:sz w:val="28"/>
          <w:szCs w:val="28"/>
          <w:highlight w:val="none"/>
        </w:rPr>
        <w:t>（含</w:t>
      </w:r>
      <w:r>
        <w:rPr>
          <w:rFonts w:hint="eastAsia" w:ascii="宋体" w:hAnsi="宋体" w:cs="宋体"/>
          <w:color w:val="auto"/>
          <w:sz w:val="28"/>
          <w:szCs w:val="28"/>
          <w:highlight w:val="none"/>
          <w:lang w:val="en-US" w:eastAsia="zh-CN"/>
        </w:rPr>
        <w:t>安装、</w:t>
      </w:r>
      <w:r>
        <w:rPr>
          <w:rFonts w:hint="eastAsia" w:ascii="宋体" w:hAnsi="宋体" w:cs="宋体"/>
          <w:color w:val="auto"/>
          <w:sz w:val="28"/>
          <w:szCs w:val="28"/>
          <w:highlight w:val="none"/>
        </w:rPr>
        <w:t>修理</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改造</w:t>
      </w:r>
      <w:r>
        <w:rPr>
          <w:rFonts w:hint="eastAsia" w:ascii="宋体" w:hAnsi="宋体" w:cs="宋体"/>
          <w:color w:val="auto"/>
          <w:sz w:val="28"/>
          <w:szCs w:val="28"/>
          <w:highlight w:val="none"/>
        </w:rPr>
        <w:t>），许可子项目：自动扶梯与自动人行道。</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2.2供应商如为代理商，则必须提供《中华人民共和国特种设备（电梯）安装、改造、维修许可证》。</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3.提供法定代表人身份证明书及法人身份证复印件盖公章；非法定代表人参加的，另须提供法定代表人签名或盖章的授权委托书及投标代表本人身份证复印件盖公章；</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4.本项目不接受联合体投标。</w:t>
      </w:r>
    </w:p>
    <w:p>
      <w:pPr>
        <w:adjustRightInd w:val="0"/>
        <w:snapToGrid w:val="0"/>
        <w:spacing w:line="460" w:lineRule="exact"/>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三、获取招标文件</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时间：2024年0</w:t>
      </w: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rPr>
        <w:t>月</w:t>
      </w:r>
      <w:r>
        <w:rPr>
          <w:rFonts w:hint="eastAsia" w:ascii="宋体" w:hAnsi="宋体" w:cs="宋体"/>
          <w:color w:val="auto"/>
          <w:sz w:val="28"/>
          <w:szCs w:val="28"/>
          <w:highlight w:val="none"/>
          <w:lang w:val="en-US" w:eastAsia="zh-CN"/>
        </w:rPr>
        <w:t>06</w:t>
      </w:r>
      <w:r>
        <w:rPr>
          <w:rFonts w:hint="eastAsia" w:ascii="宋体" w:hAnsi="宋体" w:cs="宋体"/>
          <w:color w:val="auto"/>
          <w:sz w:val="28"/>
          <w:szCs w:val="28"/>
          <w:highlight w:val="none"/>
        </w:rPr>
        <w:t>日至2024年0</w:t>
      </w: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rPr>
        <w:t>月</w:t>
      </w:r>
      <w:r>
        <w:rPr>
          <w:rFonts w:hint="eastAsia" w:ascii="宋体" w:hAnsi="宋体" w:cs="宋体"/>
          <w:color w:val="auto"/>
          <w:sz w:val="28"/>
          <w:szCs w:val="28"/>
          <w:highlight w:val="none"/>
          <w:lang w:val="en-US" w:eastAsia="zh-CN"/>
        </w:rPr>
        <w:t>26</w:t>
      </w:r>
      <w:r>
        <w:rPr>
          <w:rFonts w:hint="eastAsia" w:ascii="宋体" w:hAnsi="宋体" w:cs="宋体"/>
          <w:color w:val="auto"/>
          <w:sz w:val="28"/>
          <w:szCs w:val="28"/>
          <w:highlight w:val="none"/>
        </w:rPr>
        <w:t>日</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地点：江苏航运职业技术学院网站</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方式：自行下载招标文件</w:t>
      </w:r>
    </w:p>
    <w:p>
      <w:pPr>
        <w:adjustRightInd w:val="0"/>
        <w:snapToGrid w:val="0"/>
        <w:spacing w:line="460" w:lineRule="exact"/>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四、提交投标文件截止时间、开标时间和地点</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2024年02月</w:t>
      </w:r>
      <w:r>
        <w:rPr>
          <w:rFonts w:hint="eastAsia" w:ascii="宋体" w:hAnsi="宋体" w:cs="宋体"/>
          <w:color w:val="auto"/>
          <w:sz w:val="28"/>
          <w:szCs w:val="28"/>
          <w:highlight w:val="none"/>
          <w:lang w:val="en-US" w:eastAsia="zh-CN"/>
        </w:rPr>
        <w:t>27</w:t>
      </w:r>
      <w:r>
        <w:rPr>
          <w:rFonts w:hint="eastAsia" w:ascii="宋体" w:hAnsi="宋体" w:cs="宋体"/>
          <w:color w:val="auto"/>
          <w:sz w:val="28"/>
          <w:szCs w:val="28"/>
          <w:highlight w:val="none"/>
        </w:rPr>
        <w:t>日</w:t>
      </w:r>
      <w:r>
        <w:rPr>
          <w:rFonts w:hint="eastAsia" w:ascii="宋体" w:hAnsi="宋体" w:cs="宋体"/>
          <w:color w:val="auto"/>
          <w:sz w:val="28"/>
          <w:szCs w:val="28"/>
          <w:highlight w:val="none"/>
          <w:lang w:val="en-US" w:eastAsia="zh-CN"/>
        </w:rPr>
        <w:t>09</w:t>
      </w:r>
      <w:r>
        <w:rPr>
          <w:rFonts w:hint="eastAsia" w:ascii="宋体" w:hAnsi="宋体" w:cs="宋体"/>
          <w:color w:val="auto"/>
          <w:sz w:val="28"/>
          <w:szCs w:val="28"/>
          <w:highlight w:val="none"/>
        </w:rPr>
        <w:t>点</w:t>
      </w:r>
      <w:r>
        <w:rPr>
          <w:rFonts w:hint="eastAsia" w:ascii="宋体" w:hAnsi="宋体" w:cs="宋体"/>
          <w:color w:val="auto"/>
          <w:sz w:val="28"/>
          <w:szCs w:val="28"/>
          <w:highlight w:val="none"/>
          <w:lang w:val="en-US" w:eastAsia="zh-CN"/>
        </w:rPr>
        <w:t>30</w:t>
      </w:r>
      <w:r>
        <w:rPr>
          <w:rFonts w:hint="eastAsia" w:ascii="宋体" w:hAnsi="宋体" w:cs="宋体"/>
          <w:color w:val="auto"/>
          <w:sz w:val="28"/>
          <w:szCs w:val="28"/>
          <w:highlight w:val="none"/>
        </w:rPr>
        <w:t>分（北京时间）。逾时，招标人将拒绝接受投标响应文件。</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地点：南通市崇川路58号南通产业技术研究院9号楼10楼开标室，如有变动另行通知。</w:t>
      </w:r>
    </w:p>
    <w:p>
      <w:pPr>
        <w:adjustRightInd w:val="0"/>
        <w:snapToGrid w:val="0"/>
        <w:spacing w:line="460" w:lineRule="exact"/>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五、公告期限</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自本公告发布之日起5个工作日。</w:t>
      </w:r>
    </w:p>
    <w:p>
      <w:pPr>
        <w:adjustRightInd w:val="0"/>
        <w:snapToGrid w:val="0"/>
        <w:spacing w:line="460" w:lineRule="exact"/>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六、其他补充事宜</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1.投标保证金：免收</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2.项目开标活动模式：见面开标模式，投标供应商在南通市崇川路58号南通产业技术研究院9号楼10楼开标室参加开标会。</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3.项目演示：无。</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4.对项目需求部分（供应商资格要求、项目需求、商务技术评分标准）的询问、质疑请向招标人提出，由招标人负责答复；对项目招标文件其它部分的询问请向代理机构经办人提出。</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5.供应商应依照规定提交各类声明函、承诺函，不再同时提供原件备查或提供有关部门出具的相关证明文件。但中标供应商应做好提交声明函、承诺函、认证、业绩等相应原件的核查准备；核查后发现虚假或违背承诺的，依照相关法律法规规定处理。</w:t>
      </w:r>
    </w:p>
    <w:p>
      <w:pPr>
        <w:adjustRightInd w:val="0"/>
        <w:snapToGrid w:val="0"/>
        <w:spacing w:line="460" w:lineRule="exact"/>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七、对本次招标提出询问，请按以下方式联系。</w:t>
      </w:r>
    </w:p>
    <w:p>
      <w:pPr>
        <w:shd w:val="clear" w:color="auto" w:fill="FFFFFF"/>
        <w:spacing w:line="460" w:lineRule="exact"/>
        <w:ind w:firstLine="588" w:firstLineChars="200"/>
        <w:rPr>
          <w:rFonts w:ascii="宋体" w:hAnsi="宋体" w:cs="宋体"/>
          <w:color w:val="auto"/>
          <w:spacing w:val="7"/>
          <w:sz w:val="28"/>
          <w:szCs w:val="28"/>
          <w:highlight w:val="none"/>
        </w:rPr>
      </w:pPr>
      <w:r>
        <w:rPr>
          <w:rFonts w:hint="eastAsia" w:ascii="宋体" w:hAnsi="宋体" w:cs="宋体"/>
          <w:color w:val="auto"/>
          <w:spacing w:val="7"/>
          <w:sz w:val="28"/>
          <w:szCs w:val="28"/>
          <w:highlight w:val="none"/>
        </w:rPr>
        <w:t>1.招标人信息</w:t>
      </w:r>
    </w:p>
    <w:p>
      <w:pPr>
        <w:shd w:val="clear" w:color="auto" w:fill="FFFFFF"/>
        <w:spacing w:line="460" w:lineRule="exact"/>
        <w:ind w:firstLine="588" w:firstLineChars="200"/>
        <w:rPr>
          <w:rFonts w:ascii="宋体" w:hAnsi="宋体" w:cs="宋体"/>
          <w:color w:val="auto"/>
          <w:spacing w:val="7"/>
          <w:sz w:val="28"/>
          <w:szCs w:val="28"/>
          <w:highlight w:val="none"/>
        </w:rPr>
      </w:pPr>
      <w:bookmarkStart w:id="3" w:name="_Toc35393638"/>
      <w:bookmarkStart w:id="4" w:name="_Toc35393807"/>
      <w:bookmarkStart w:id="5" w:name="_Toc28359097"/>
      <w:bookmarkStart w:id="6" w:name="_Toc28359020"/>
      <w:r>
        <w:rPr>
          <w:rFonts w:hint="eastAsia" w:ascii="宋体" w:hAnsi="宋体" w:cs="宋体"/>
          <w:color w:val="auto"/>
          <w:spacing w:val="7"/>
          <w:sz w:val="28"/>
          <w:szCs w:val="28"/>
          <w:highlight w:val="none"/>
        </w:rPr>
        <w:t>名称：江苏航运职业技术学院</w:t>
      </w:r>
    </w:p>
    <w:p>
      <w:pPr>
        <w:shd w:val="clear" w:color="auto" w:fill="FFFFFF"/>
        <w:spacing w:line="460" w:lineRule="exact"/>
        <w:ind w:firstLine="588" w:firstLineChars="200"/>
        <w:rPr>
          <w:rFonts w:ascii="宋体" w:hAnsi="宋体" w:cs="宋体"/>
          <w:color w:val="auto"/>
          <w:spacing w:val="7"/>
          <w:sz w:val="28"/>
          <w:szCs w:val="28"/>
          <w:highlight w:val="none"/>
        </w:rPr>
      </w:pPr>
      <w:r>
        <w:rPr>
          <w:rFonts w:hint="eastAsia" w:ascii="宋体" w:hAnsi="宋体" w:cs="宋体"/>
          <w:color w:val="auto"/>
          <w:spacing w:val="7"/>
          <w:sz w:val="28"/>
          <w:szCs w:val="28"/>
          <w:highlight w:val="none"/>
        </w:rPr>
        <w:t>联系人：徐老师 13962943196</w:t>
      </w:r>
    </w:p>
    <w:p>
      <w:pPr>
        <w:shd w:val="clear" w:color="auto" w:fill="FFFFFF"/>
        <w:spacing w:line="460" w:lineRule="exact"/>
        <w:ind w:firstLine="588" w:firstLineChars="200"/>
        <w:rPr>
          <w:rFonts w:ascii="宋体" w:hAnsi="宋体" w:cs="宋体"/>
          <w:color w:val="auto"/>
          <w:spacing w:val="7"/>
          <w:sz w:val="28"/>
          <w:szCs w:val="28"/>
          <w:highlight w:val="none"/>
        </w:rPr>
      </w:pPr>
      <w:r>
        <w:rPr>
          <w:rFonts w:hint="eastAsia" w:ascii="宋体" w:hAnsi="宋体" w:cs="宋体"/>
          <w:color w:val="auto"/>
          <w:spacing w:val="7"/>
          <w:sz w:val="28"/>
          <w:szCs w:val="28"/>
          <w:highlight w:val="none"/>
        </w:rPr>
        <w:t>2.招标代理机构信息</w:t>
      </w:r>
      <w:bookmarkEnd w:id="3"/>
      <w:bookmarkEnd w:id="4"/>
      <w:bookmarkEnd w:id="5"/>
      <w:bookmarkEnd w:id="6"/>
    </w:p>
    <w:p>
      <w:pPr>
        <w:shd w:val="clear" w:color="auto" w:fill="FFFFFF"/>
        <w:spacing w:line="460" w:lineRule="exact"/>
        <w:ind w:firstLine="588" w:firstLineChars="200"/>
        <w:rPr>
          <w:rFonts w:ascii="宋体" w:hAnsi="宋体" w:cs="宋体"/>
          <w:color w:val="auto"/>
          <w:spacing w:val="7"/>
          <w:sz w:val="28"/>
          <w:szCs w:val="28"/>
          <w:highlight w:val="none"/>
        </w:rPr>
      </w:pPr>
      <w:r>
        <w:rPr>
          <w:rFonts w:hint="eastAsia" w:ascii="宋体" w:hAnsi="宋体" w:cs="宋体"/>
          <w:color w:val="auto"/>
          <w:spacing w:val="7"/>
          <w:sz w:val="28"/>
          <w:szCs w:val="28"/>
          <w:highlight w:val="none"/>
        </w:rPr>
        <w:t>名称：江苏中润工程建设咨询有限公司</w:t>
      </w:r>
    </w:p>
    <w:p>
      <w:pPr>
        <w:shd w:val="clear" w:color="auto" w:fill="FFFFFF"/>
        <w:spacing w:line="460" w:lineRule="exact"/>
        <w:ind w:firstLine="588" w:firstLineChars="200"/>
        <w:rPr>
          <w:rFonts w:ascii="宋体" w:hAnsi="宋体" w:cs="宋体"/>
          <w:color w:val="auto"/>
          <w:spacing w:val="7"/>
          <w:sz w:val="28"/>
          <w:szCs w:val="28"/>
          <w:highlight w:val="none"/>
        </w:rPr>
      </w:pPr>
      <w:r>
        <w:rPr>
          <w:rFonts w:hint="eastAsia" w:ascii="宋体" w:hAnsi="宋体" w:cs="宋体"/>
          <w:color w:val="auto"/>
          <w:spacing w:val="7"/>
          <w:sz w:val="28"/>
          <w:szCs w:val="28"/>
          <w:highlight w:val="none"/>
        </w:rPr>
        <w:t>地址：南通市崇川路58号</w:t>
      </w:r>
    </w:p>
    <w:p>
      <w:pPr>
        <w:shd w:val="clear" w:color="auto" w:fill="FFFFFF"/>
        <w:spacing w:line="460" w:lineRule="exact"/>
        <w:ind w:firstLine="588" w:firstLineChars="200"/>
        <w:rPr>
          <w:rFonts w:ascii="宋体" w:hAnsi="宋体" w:cs="宋体"/>
          <w:color w:val="auto"/>
          <w:spacing w:val="7"/>
          <w:sz w:val="28"/>
          <w:szCs w:val="28"/>
          <w:highlight w:val="none"/>
        </w:rPr>
      </w:pPr>
      <w:r>
        <w:rPr>
          <w:rFonts w:hint="eastAsia" w:ascii="宋体" w:hAnsi="宋体" w:cs="宋体"/>
          <w:color w:val="auto"/>
          <w:spacing w:val="7"/>
          <w:sz w:val="28"/>
          <w:szCs w:val="28"/>
          <w:highlight w:val="none"/>
        </w:rPr>
        <w:t>联系方式：王工0513-55887688 13906272111</w:t>
      </w:r>
    </w:p>
    <w:p>
      <w:pPr>
        <w:spacing w:line="800" w:lineRule="exact"/>
        <w:jc w:val="center"/>
        <w:rPr>
          <w:rFonts w:ascii="宋体" w:hAnsi="宋体" w:cs="宋体"/>
          <w:bCs/>
          <w:color w:val="auto"/>
          <w:sz w:val="36"/>
          <w:szCs w:val="36"/>
          <w:highlight w:val="none"/>
        </w:rPr>
      </w:pPr>
      <w:r>
        <w:rPr>
          <w:rFonts w:hint="eastAsia" w:ascii="宋体" w:hAnsi="宋体" w:cs="宋体"/>
          <w:bCs/>
          <w:color w:val="auto"/>
          <w:sz w:val="36"/>
          <w:szCs w:val="36"/>
          <w:highlight w:val="none"/>
        </w:rPr>
        <w:br w:type="page"/>
      </w:r>
      <w:r>
        <w:rPr>
          <w:rFonts w:hint="eastAsia" w:ascii="宋体" w:hAnsi="宋体" w:cs="宋体"/>
          <w:b/>
          <w:color w:val="auto"/>
          <w:sz w:val="36"/>
          <w:szCs w:val="36"/>
          <w:highlight w:val="none"/>
        </w:rPr>
        <w:t>第二部分  投标须知</w:t>
      </w:r>
    </w:p>
    <w:p>
      <w:pPr>
        <w:pStyle w:val="5"/>
        <w:adjustRightInd w:val="0"/>
        <w:snapToGrid w:val="0"/>
        <w:spacing w:before="0" w:after="0" w:line="420" w:lineRule="exact"/>
        <w:ind w:firstLine="562" w:firstLineChars="200"/>
        <w:rPr>
          <w:rFonts w:ascii="宋体" w:hAnsi="宋体" w:cs="宋体"/>
          <w:color w:val="auto"/>
          <w:sz w:val="28"/>
          <w:szCs w:val="28"/>
          <w:highlight w:val="none"/>
        </w:rPr>
      </w:pPr>
      <w:bookmarkStart w:id="7" w:name="_Toc20823275"/>
      <w:bookmarkStart w:id="8" w:name="_Toc16938519"/>
      <w:bookmarkStart w:id="9" w:name="_Toc513029203"/>
      <w:bookmarkStart w:id="10" w:name="_Toc120614214"/>
      <w:r>
        <w:rPr>
          <w:rFonts w:hint="eastAsia" w:ascii="宋体" w:hAnsi="宋体" w:cs="宋体"/>
          <w:color w:val="auto"/>
          <w:sz w:val="28"/>
          <w:szCs w:val="28"/>
          <w:highlight w:val="none"/>
        </w:rPr>
        <w:t>一、总则</w:t>
      </w:r>
      <w:bookmarkEnd w:id="7"/>
      <w:bookmarkEnd w:id="8"/>
      <w:bookmarkEnd w:id="9"/>
      <w:bookmarkEnd w:id="10"/>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bookmarkStart w:id="11" w:name="_Hlt16619475"/>
      <w:bookmarkEnd w:id="11"/>
      <w:bookmarkStart w:id="12" w:name="_Toc458694821"/>
      <w:bookmarkStart w:id="13" w:name="_Toc513029204"/>
      <w:bookmarkStart w:id="14" w:name="_Toc20823276"/>
      <w:bookmarkStart w:id="15" w:name="_Toc16938520"/>
      <w:r>
        <w:rPr>
          <w:rFonts w:hint="eastAsia" w:ascii="宋体" w:hAnsi="宋体" w:eastAsia="宋体" w:cs="宋体"/>
          <w:color w:val="auto"/>
          <w:sz w:val="28"/>
          <w:szCs w:val="28"/>
          <w:highlight w:val="none"/>
        </w:rPr>
        <w:t>1</w:t>
      </w:r>
      <w:bookmarkEnd w:id="12"/>
      <w:r>
        <w:rPr>
          <w:rFonts w:hint="eastAsia" w:ascii="宋体" w:hAnsi="宋体" w:eastAsia="宋体" w:cs="宋体"/>
          <w:color w:val="auto"/>
          <w:sz w:val="28"/>
          <w:szCs w:val="28"/>
          <w:highlight w:val="none"/>
        </w:rPr>
        <w:t>.招标</w:t>
      </w:r>
      <w:bookmarkEnd w:id="13"/>
      <w:bookmarkEnd w:id="14"/>
      <w:bookmarkEnd w:id="15"/>
      <w:r>
        <w:rPr>
          <w:rFonts w:hint="eastAsia" w:ascii="宋体" w:hAnsi="宋体" w:eastAsia="宋体" w:cs="宋体"/>
          <w:color w:val="auto"/>
          <w:sz w:val="28"/>
          <w:szCs w:val="28"/>
          <w:highlight w:val="none"/>
        </w:rPr>
        <w:t>方式</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1.1 本次招标采取公开招标方式，本招标文件仅适用于招标公告中所述项目。</w:t>
      </w:r>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bookmarkStart w:id="16" w:name="_Toc16938521"/>
      <w:bookmarkStart w:id="17" w:name="_Toc20823277"/>
      <w:bookmarkStart w:id="18" w:name="_Toc513029205"/>
      <w:r>
        <w:rPr>
          <w:rFonts w:hint="eastAsia" w:ascii="宋体" w:hAnsi="宋体" w:eastAsia="宋体" w:cs="宋体"/>
          <w:color w:val="auto"/>
          <w:sz w:val="28"/>
          <w:szCs w:val="28"/>
          <w:highlight w:val="none"/>
        </w:rPr>
        <w:t>2.合格的投标人</w:t>
      </w:r>
      <w:bookmarkEnd w:id="16"/>
      <w:bookmarkEnd w:id="17"/>
      <w:bookmarkEnd w:id="18"/>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2.1满足招标公告中供应商的资格要求的规定。</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2.2 满足本文件实质性条款的规定。</w:t>
      </w:r>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bookmarkStart w:id="19" w:name="_Toc513029206"/>
      <w:bookmarkStart w:id="20" w:name="_Toc20823278"/>
      <w:bookmarkStart w:id="21" w:name="_Toc16938522"/>
      <w:r>
        <w:rPr>
          <w:rFonts w:hint="eastAsia" w:ascii="宋体" w:hAnsi="宋体" w:eastAsia="宋体" w:cs="宋体"/>
          <w:color w:val="auto"/>
          <w:sz w:val="28"/>
          <w:szCs w:val="28"/>
          <w:highlight w:val="none"/>
        </w:rPr>
        <w:t>3.适用法律</w:t>
      </w:r>
      <w:bookmarkEnd w:id="19"/>
      <w:bookmarkEnd w:id="20"/>
      <w:bookmarkEnd w:id="21"/>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3.1本次招标及由此产生的合同受中华人民共和国有关的法律法规制约和保护。</w:t>
      </w:r>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bookmarkStart w:id="22" w:name="_Toc20823279"/>
      <w:bookmarkStart w:id="23" w:name="_Toc513029207"/>
      <w:bookmarkStart w:id="24" w:name="_Toc462564067"/>
      <w:bookmarkStart w:id="25" w:name="_Toc16938523"/>
      <w:r>
        <w:rPr>
          <w:rFonts w:hint="eastAsia" w:ascii="宋体" w:hAnsi="宋体" w:eastAsia="宋体" w:cs="宋体"/>
          <w:color w:val="auto"/>
          <w:sz w:val="28"/>
          <w:szCs w:val="28"/>
          <w:highlight w:val="none"/>
        </w:rPr>
        <w:t>4.投标费用</w:t>
      </w:r>
      <w:bookmarkEnd w:id="22"/>
      <w:bookmarkEnd w:id="23"/>
      <w:bookmarkEnd w:id="24"/>
      <w:bookmarkEnd w:id="25"/>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4.1本项目工本费300元/份，于开标现场支付给采购代理机构，无论是否中标售后不退。</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4.2本项目采购代理服务费按照发改价格[2011]534号文标准计收，由成交供应商承担。供应商在报价时应综合考虑（不单列）。</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代理费定标后由中标候选人支付给代理机构。因中标人原因导致中标结果变更或取消中标资格等，代理费不予退还。</w:t>
      </w:r>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5.招标文件的约束力</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5.1</w:t>
      </w:r>
      <w:r>
        <w:rPr>
          <w:rFonts w:hint="eastAsia" w:ascii="宋体" w:hAnsi="宋体" w:cs="宋体"/>
          <w:color w:val="auto"/>
          <w:sz w:val="28"/>
          <w:szCs w:val="28"/>
          <w:highlight w:val="none"/>
        </w:rPr>
        <w:t xml:space="preserve"> 投标人一旦参加本项目采购活动，即被认为接受了本招标文件的规定和约束。</w:t>
      </w:r>
    </w:p>
    <w:p>
      <w:pPr>
        <w:pStyle w:val="6"/>
        <w:adjustRightInd w:val="0"/>
        <w:snapToGrid w:val="0"/>
        <w:spacing w:line="420" w:lineRule="exact"/>
        <w:ind w:firstLine="560" w:firstLineChars="200"/>
        <w:jc w:val="both"/>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6.招标文件的解释</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6.1</w:t>
      </w:r>
      <w:r>
        <w:rPr>
          <w:rFonts w:hint="eastAsia" w:ascii="宋体" w:hAnsi="宋体" w:cs="宋体"/>
          <w:color w:val="auto"/>
          <w:sz w:val="28"/>
          <w:szCs w:val="28"/>
          <w:highlight w:val="none"/>
        </w:rPr>
        <w:t>招标文件需求部分（供应商资格要求、项目需求、商务技术评分标准）由招标人解释，其它部分由代理机构解释。</w:t>
      </w:r>
    </w:p>
    <w:p>
      <w:pPr>
        <w:pStyle w:val="5"/>
        <w:adjustRightInd w:val="0"/>
        <w:snapToGrid w:val="0"/>
        <w:spacing w:before="0" w:after="0" w:line="420" w:lineRule="exact"/>
        <w:ind w:firstLine="562" w:firstLineChars="200"/>
        <w:rPr>
          <w:rFonts w:ascii="宋体" w:hAnsi="宋体" w:cs="宋体"/>
          <w:color w:val="auto"/>
          <w:sz w:val="28"/>
          <w:szCs w:val="28"/>
          <w:highlight w:val="none"/>
        </w:rPr>
      </w:pPr>
      <w:bookmarkStart w:id="26" w:name="_Toc513029209"/>
      <w:bookmarkStart w:id="27" w:name="_Toc20823281"/>
      <w:bookmarkStart w:id="28" w:name="_Toc120614215"/>
      <w:bookmarkStart w:id="29" w:name="_Toc16938525"/>
      <w:r>
        <w:rPr>
          <w:rFonts w:hint="eastAsia" w:ascii="宋体" w:hAnsi="宋体" w:cs="宋体"/>
          <w:color w:val="auto"/>
          <w:sz w:val="28"/>
          <w:szCs w:val="28"/>
          <w:highlight w:val="none"/>
        </w:rPr>
        <w:t>二、招标文件</w:t>
      </w:r>
      <w:bookmarkEnd w:id="26"/>
      <w:bookmarkEnd w:id="27"/>
      <w:bookmarkEnd w:id="28"/>
      <w:bookmarkEnd w:id="29"/>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bookmarkStart w:id="30" w:name="_Toc513029210"/>
      <w:bookmarkStart w:id="31" w:name="_Toc16938526"/>
      <w:bookmarkStart w:id="32" w:name="_Toc20823282"/>
      <w:r>
        <w:rPr>
          <w:rFonts w:hint="eastAsia" w:ascii="宋体" w:hAnsi="宋体" w:eastAsia="宋体" w:cs="宋体"/>
          <w:color w:val="auto"/>
          <w:sz w:val="28"/>
          <w:szCs w:val="28"/>
          <w:highlight w:val="none"/>
        </w:rPr>
        <w:t>1.招标文件构成</w:t>
      </w:r>
      <w:bookmarkEnd w:id="30"/>
      <w:bookmarkEnd w:id="31"/>
      <w:bookmarkEnd w:id="32"/>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1.1</w:t>
      </w:r>
      <w:r>
        <w:rPr>
          <w:rFonts w:hint="eastAsia" w:ascii="宋体" w:hAnsi="宋体" w:cs="宋体"/>
          <w:color w:val="auto"/>
          <w:sz w:val="28"/>
          <w:szCs w:val="28"/>
          <w:highlight w:val="none"/>
        </w:rPr>
        <w:t xml:space="preserve"> 招标文件由以下部分组成：</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（1）招标邀请</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（2）投标须知</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（3）项目需求</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（4）开标和评标</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（5）投标文件组成</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（6）附件（如有）</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请仔细检查招标文件是否齐全，如有缺漏请立即与代理机构联系解决。</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1.2</w:t>
      </w:r>
      <w:r>
        <w:rPr>
          <w:rFonts w:hint="eastAsia" w:ascii="宋体" w:hAnsi="宋体" w:cs="宋体"/>
          <w:color w:val="auto"/>
          <w:sz w:val="28"/>
          <w:szCs w:val="28"/>
          <w:highlight w:val="none"/>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bookmarkStart w:id="33" w:name="_Toc513029211"/>
      <w:bookmarkStart w:id="34" w:name="_Toc462564070"/>
      <w:bookmarkStart w:id="35" w:name="_Toc16938527"/>
      <w:bookmarkStart w:id="36" w:name="_Toc20823283"/>
      <w:r>
        <w:rPr>
          <w:rFonts w:hint="eastAsia" w:ascii="宋体" w:hAnsi="宋体" w:eastAsia="宋体" w:cs="宋体"/>
          <w:color w:val="auto"/>
          <w:sz w:val="28"/>
          <w:szCs w:val="28"/>
          <w:highlight w:val="none"/>
        </w:rPr>
        <w:t>2.招标文件的澄清</w:t>
      </w:r>
      <w:bookmarkEnd w:id="33"/>
      <w:bookmarkEnd w:id="34"/>
      <w:bookmarkEnd w:id="35"/>
      <w:bookmarkEnd w:id="36"/>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2.1</w:t>
      </w:r>
      <w:r>
        <w:rPr>
          <w:rFonts w:hint="eastAsia" w:ascii="宋体" w:hAnsi="宋体" w:cs="宋体"/>
          <w:color w:val="auto"/>
          <w:sz w:val="28"/>
          <w:szCs w:val="28"/>
          <w:highlight w:val="none"/>
        </w:rPr>
        <w:t xml:space="preserve"> 任何要求对招标文件进行澄清的投标人，应在投标截止期十日前按招标公告中的通讯地址，以书面形式通知招标人。招标人有权对发出的招标文件进行必要的澄清或修改</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2.2招标人视情组织答疑会</w:t>
      </w:r>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bookmarkStart w:id="37" w:name="_Toc513029212"/>
      <w:bookmarkStart w:id="38" w:name="_Toc16938528"/>
      <w:bookmarkStart w:id="39" w:name="_Toc20823284"/>
      <w:bookmarkStart w:id="40" w:name="_Toc462564071"/>
      <w:r>
        <w:rPr>
          <w:rFonts w:hint="eastAsia" w:ascii="宋体" w:hAnsi="宋体" w:eastAsia="宋体" w:cs="宋体"/>
          <w:color w:val="auto"/>
          <w:sz w:val="28"/>
          <w:szCs w:val="28"/>
          <w:highlight w:val="none"/>
        </w:rPr>
        <w:t>3.招标文件的修改</w:t>
      </w:r>
      <w:bookmarkEnd w:id="37"/>
      <w:bookmarkEnd w:id="38"/>
      <w:bookmarkEnd w:id="39"/>
      <w:bookmarkEnd w:id="40"/>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3.1</w:t>
      </w:r>
      <w:r>
        <w:rPr>
          <w:rFonts w:hint="eastAsia" w:ascii="宋体" w:hAnsi="宋体" w:cs="宋体"/>
          <w:color w:val="auto"/>
          <w:sz w:val="28"/>
          <w:szCs w:val="28"/>
          <w:highlight w:val="none"/>
        </w:rPr>
        <w:t xml:space="preserve"> 在投标截止时间前，代理机构可以对招标文件进行修改。</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 xml:space="preserve">3.2 </w:t>
      </w:r>
      <w:r>
        <w:rPr>
          <w:rFonts w:hint="eastAsia" w:ascii="宋体" w:hAnsi="宋体" w:cs="宋体"/>
          <w:color w:val="auto"/>
          <w:sz w:val="28"/>
          <w:szCs w:val="28"/>
          <w:highlight w:val="none"/>
        </w:rPr>
        <w:t>代理机构有权按照法定的要求推迟投标截止日期和开标日期。</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 xml:space="preserve">3.3 </w:t>
      </w:r>
      <w:r>
        <w:rPr>
          <w:rFonts w:hint="eastAsia" w:ascii="宋体" w:hAnsi="宋体" w:cs="宋体"/>
          <w:color w:val="auto"/>
          <w:sz w:val="28"/>
          <w:szCs w:val="28"/>
          <w:highlight w:val="none"/>
        </w:rPr>
        <w:t>招标文件的修改将在江苏航运职业技术学院网站公布，补充文件将作为招标文件的组成部分，并对投标人具有约束力。</w:t>
      </w:r>
    </w:p>
    <w:p>
      <w:pPr>
        <w:pStyle w:val="5"/>
        <w:adjustRightInd w:val="0"/>
        <w:snapToGrid w:val="0"/>
        <w:spacing w:before="0" w:after="0" w:line="420" w:lineRule="exact"/>
        <w:ind w:firstLine="562" w:firstLineChars="200"/>
        <w:rPr>
          <w:rFonts w:ascii="宋体" w:hAnsi="宋体" w:cs="宋体"/>
          <w:color w:val="auto"/>
          <w:sz w:val="28"/>
          <w:szCs w:val="28"/>
          <w:highlight w:val="none"/>
        </w:rPr>
      </w:pPr>
      <w:bookmarkStart w:id="41" w:name="_Toc513029213"/>
      <w:bookmarkStart w:id="42" w:name="_Toc16938529"/>
      <w:bookmarkStart w:id="43" w:name="_Toc462564072"/>
      <w:bookmarkStart w:id="44" w:name="_Toc20823285"/>
      <w:bookmarkStart w:id="45" w:name="_Toc120614216"/>
      <w:r>
        <w:rPr>
          <w:rFonts w:hint="eastAsia" w:ascii="宋体" w:hAnsi="宋体" w:cs="宋体"/>
          <w:color w:val="auto"/>
          <w:sz w:val="28"/>
          <w:szCs w:val="28"/>
          <w:highlight w:val="none"/>
        </w:rPr>
        <w:t>三、投标文件的编制</w:t>
      </w:r>
      <w:bookmarkEnd w:id="41"/>
      <w:bookmarkEnd w:id="42"/>
      <w:bookmarkEnd w:id="43"/>
      <w:bookmarkEnd w:id="44"/>
      <w:bookmarkEnd w:id="45"/>
    </w:p>
    <w:p>
      <w:pPr>
        <w:pStyle w:val="6"/>
        <w:adjustRightInd w:val="0"/>
        <w:snapToGrid w:val="0"/>
        <w:spacing w:line="420" w:lineRule="exact"/>
        <w:ind w:firstLine="560" w:firstLineChars="200"/>
        <w:jc w:val="both"/>
        <w:rPr>
          <w:rFonts w:ascii="宋体" w:hAnsi="宋体" w:eastAsia="宋体" w:cs="宋体"/>
          <w:bCs/>
          <w:color w:val="auto"/>
          <w:sz w:val="28"/>
          <w:szCs w:val="28"/>
          <w:highlight w:val="none"/>
        </w:rPr>
      </w:pPr>
      <w:bookmarkStart w:id="46" w:name="_Toc20823286"/>
      <w:bookmarkStart w:id="47" w:name="_Toc16938530"/>
      <w:bookmarkStart w:id="48" w:name="_Toc462564073"/>
      <w:bookmarkStart w:id="49" w:name="_Toc513029214"/>
      <w:r>
        <w:rPr>
          <w:rFonts w:hint="eastAsia" w:ascii="宋体" w:hAnsi="宋体" w:eastAsia="宋体" w:cs="宋体"/>
          <w:color w:val="auto"/>
          <w:sz w:val="28"/>
          <w:szCs w:val="28"/>
          <w:highlight w:val="none"/>
        </w:rPr>
        <w:t>1.投标文件的语言及度量衡单位</w:t>
      </w:r>
      <w:bookmarkEnd w:id="46"/>
      <w:bookmarkEnd w:id="47"/>
      <w:bookmarkEnd w:id="48"/>
      <w:bookmarkEnd w:id="49"/>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1.1</w:t>
      </w:r>
      <w:r>
        <w:rPr>
          <w:rFonts w:hint="eastAsia" w:ascii="宋体" w:hAnsi="宋体" w:cs="宋体"/>
          <w:color w:val="auto"/>
          <w:sz w:val="28"/>
          <w:szCs w:val="28"/>
          <w:highlight w:val="none"/>
        </w:rPr>
        <w:t xml:space="preserve"> 投标人提交的投标文件以及投标人与代理机构就有关投标的所有来往通知、函件和文件均应使用</w:t>
      </w:r>
      <w:r>
        <w:rPr>
          <w:rFonts w:hint="eastAsia" w:ascii="宋体" w:hAnsi="宋体" w:cs="宋体"/>
          <w:bCs/>
          <w:color w:val="auto"/>
          <w:sz w:val="28"/>
          <w:szCs w:val="28"/>
          <w:highlight w:val="none"/>
        </w:rPr>
        <w:t>简体中文</w:t>
      </w:r>
      <w:r>
        <w:rPr>
          <w:rFonts w:hint="eastAsia" w:ascii="宋体" w:hAnsi="宋体" w:cs="宋体"/>
          <w:color w:val="auto"/>
          <w:sz w:val="28"/>
          <w:szCs w:val="28"/>
          <w:highlight w:val="none"/>
        </w:rPr>
        <w:t>。</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1.2</w:t>
      </w:r>
      <w:r>
        <w:rPr>
          <w:rFonts w:hint="eastAsia" w:ascii="宋体" w:hAnsi="宋体" w:cs="宋体"/>
          <w:color w:val="auto"/>
          <w:sz w:val="28"/>
          <w:szCs w:val="28"/>
          <w:highlight w:val="none"/>
        </w:rPr>
        <w:t xml:space="preserve"> 除技术性能另有规定外，投标文件所使用的度量衡单位，均须采用国家法定计量单位。</w:t>
      </w:r>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bookmarkStart w:id="50" w:name="_Toc20823287"/>
      <w:bookmarkStart w:id="51" w:name="_Toc513029215"/>
      <w:bookmarkStart w:id="52" w:name="_Toc462564074"/>
      <w:bookmarkStart w:id="53" w:name="_Toc16938531"/>
      <w:r>
        <w:rPr>
          <w:rFonts w:hint="eastAsia" w:ascii="宋体" w:hAnsi="宋体" w:eastAsia="宋体" w:cs="宋体"/>
          <w:color w:val="auto"/>
          <w:sz w:val="28"/>
          <w:szCs w:val="28"/>
          <w:highlight w:val="none"/>
        </w:rPr>
        <w:t>2.投标文件构成</w:t>
      </w:r>
      <w:bookmarkEnd w:id="50"/>
      <w:bookmarkEnd w:id="51"/>
      <w:bookmarkEnd w:id="52"/>
      <w:bookmarkEnd w:id="53"/>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2.1</w:t>
      </w:r>
      <w:r>
        <w:rPr>
          <w:rFonts w:hint="eastAsia" w:ascii="宋体" w:hAnsi="宋体" w:cs="宋体"/>
          <w:color w:val="auto"/>
          <w:sz w:val="28"/>
          <w:szCs w:val="28"/>
          <w:highlight w:val="none"/>
        </w:rPr>
        <w:t xml:space="preserve"> 投标人编写的投标文件应包括资格审查文件、商务技术文件文件、价格文件文件、电子响应文件。供应商按“第五部分 投标文件组成”要求编写投标文件</w:t>
      </w:r>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bookmarkStart w:id="54" w:name="_Hlt26668975"/>
      <w:bookmarkEnd w:id="54"/>
      <w:bookmarkStart w:id="55" w:name="_Hlt26670360"/>
      <w:bookmarkEnd w:id="55"/>
      <w:bookmarkStart w:id="56" w:name="_Hlt26954838"/>
      <w:bookmarkEnd w:id="56"/>
      <w:bookmarkStart w:id="57" w:name="_Toc49090511"/>
      <w:bookmarkStart w:id="58" w:name="_Toc14577360"/>
      <w:r>
        <w:rPr>
          <w:rFonts w:hint="eastAsia" w:ascii="宋体" w:hAnsi="宋体" w:eastAsia="宋体" w:cs="宋体"/>
          <w:color w:val="auto"/>
          <w:sz w:val="28"/>
          <w:szCs w:val="28"/>
          <w:highlight w:val="none"/>
        </w:rPr>
        <w:t>3.投标有效期</w:t>
      </w:r>
      <w:bookmarkEnd w:id="57"/>
      <w:bookmarkEnd w:id="58"/>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3.1投标有效期为代理机构规定的开标之日后</w:t>
      </w:r>
      <w:r>
        <w:rPr>
          <w:rFonts w:hint="eastAsia" w:ascii="宋体" w:hAnsi="宋体" w:cs="宋体"/>
          <w:b/>
          <w:color w:val="auto"/>
          <w:sz w:val="28"/>
          <w:szCs w:val="28"/>
          <w:highlight w:val="none"/>
          <w:u w:val="single"/>
        </w:rPr>
        <w:t>六十（60）天</w:t>
      </w:r>
      <w:r>
        <w:rPr>
          <w:rFonts w:hint="eastAsia" w:ascii="宋体" w:hAnsi="宋体" w:cs="宋体"/>
          <w:bCs/>
          <w:color w:val="auto"/>
          <w:sz w:val="28"/>
          <w:szCs w:val="28"/>
          <w:highlight w:val="none"/>
        </w:rPr>
        <w:t>。投标有效期比规定短的将被视为非响应性投标而予以拒绝。</w:t>
      </w:r>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4.投标有效期的延长</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4.1在特殊情况下，代理机构于原投标有效期满之前，可向投标人提出延长投标有效期的要求。这种要求与答复均应采用书面形式。投标人可以拒绝代理机构的这一要求而放弃投标，同意延长投标有效期的投标人既不能要求也不允许修改其投标文件。</w:t>
      </w:r>
      <w:r>
        <w:rPr>
          <w:rFonts w:hint="eastAsia" w:ascii="宋体" w:hAnsi="宋体" w:cs="宋体"/>
          <w:color w:val="auto"/>
          <w:sz w:val="28"/>
          <w:szCs w:val="28"/>
          <w:highlight w:val="none"/>
        </w:rPr>
        <w:t>受投标有效期约束的所有权利与义务均延长至新的有效期</w:t>
      </w:r>
      <w:r>
        <w:rPr>
          <w:rFonts w:hint="eastAsia" w:ascii="宋体" w:hAnsi="宋体" w:cs="宋体"/>
          <w:bCs/>
          <w:color w:val="auto"/>
          <w:sz w:val="28"/>
          <w:szCs w:val="28"/>
          <w:highlight w:val="none"/>
        </w:rPr>
        <w:t>。</w:t>
      </w:r>
    </w:p>
    <w:p>
      <w:pPr>
        <w:pStyle w:val="6"/>
        <w:adjustRightInd w:val="0"/>
        <w:snapToGrid w:val="0"/>
        <w:spacing w:line="420" w:lineRule="exact"/>
        <w:ind w:firstLine="560" w:firstLineChars="200"/>
        <w:jc w:val="both"/>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5.投标人资格要求</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5.1投标人应具备承担本项目的资格要求。</w:t>
      </w:r>
    </w:p>
    <w:p>
      <w:pPr>
        <w:pStyle w:val="5"/>
        <w:adjustRightInd w:val="0"/>
        <w:snapToGrid w:val="0"/>
        <w:spacing w:before="0" w:after="0" w:line="420" w:lineRule="exact"/>
        <w:ind w:firstLine="562" w:firstLineChars="200"/>
        <w:rPr>
          <w:rFonts w:ascii="宋体" w:hAnsi="宋体" w:cs="宋体"/>
          <w:color w:val="auto"/>
          <w:sz w:val="28"/>
          <w:szCs w:val="28"/>
          <w:highlight w:val="none"/>
        </w:rPr>
      </w:pPr>
      <w:bookmarkStart w:id="59" w:name="_Hlt26954852"/>
      <w:bookmarkEnd w:id="59"/>
      <w:bookmarkStart w:id="60" w:name="_Hlt26954739"/>
      <w:bookmarkEnd w:id="60"/>
      <w:bookmarkStart w:id="61" w:name="_Toc20823296"/>
      <w:bookmarkStart w:id="62" w:name="_Toc16938540"/>
      <w:bookmarkStart w:id="63" w:name="_Toc120614217"/>
      <w:bookmarkStart w:id="64" w:name="_Toc513029224"/>
      <w:r>
        <w:rPr>
          <w:rFonts w:hint="eastAsia" w:ascii="宋体" w:hAnsi="宋体" w:cs="宋体"/>
          <w:color w:val="auto"/>
          <w:sz w:val="28"/>
          <w:szCs w:val="28"/>
          <w:highlight w:val="none"/>
        </w:rPr>
        <w:t>四、投标文件的递交</w:t>
      </w:r>
      <w:bookmarkEnd w:id="61"/>
      <w:bookmarkEnd w:id="62"/>
      <w:bookmarkEnd w:id="63"/>
      <w:bookmarkEnd w:id="64"/>
    </w:p>
    <w:p>
      <w:pPr>
        <w:adjustRightInd w:val="0"/>
        <w:snapToGrid w:val="0"/>
        <w:spacing w:line="420" w:lineRule="exact"/>
        <w:ind w:firstLine="560" w:firstLineChars="200"/>
        <w:rPr>
          <w:rFonts w:ascii="宋体" w:hAnsi="宋体" w:cs="宋体"/>
          <w:color w:val="auto"/>
          <w:kern w:val="0"/>
          <w:sz w:val="28"/>
          <w:szCs w:val="28"/>
          <w:highlight w:val="none"/>
        </w:rPr>
      </w:pPr>
      <w:bookmarkStart w:id="65" w:name="_Toc16938542"/>
      <w:bookmarkStart w:id="66" w:name="_Toc20823298"/>
      <w:bookmarkStart w:id="67" w:name="_Toc513029226"/>
      <w:r>
        <w:rPr>
          <w:rFonts w:hint="eastAsia" w:ascii="宋体" w:hAnsi="宋体" w:cs="宋体"/>
          <w:color w:val="auto"/>
          <w:kern w:val="0"/>
          <w:sz w:val="28"/>
          <w:szCs w:val="28"/>
          <w:highlight w:val="none"/>
        </w:rPr>
        <w:t>1.投标文件的组成</w:t>
      </w:r>
    </w:p>
    <w:p>
      <w:pPr>
        <w:adjustRightInd w:val="0"/>
        <w:snapToGrid w:val="0"/>
        <w:spacing w:line="42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1.1纸质投标文件分资格审查文件、商务技术文件、价格文件三部分内容。每一部分内容均须提供“一份正本、一份副本”纸质响应文件，须分别单独牢固装订，不得相互混淆，文件自编目录并连续标注页码，不得将内容拆开。价格文件不得出现于资格审查文件和商务技术文件中。</w:t>
      </w:r>
    </w:p>
    <w:p>
      <w:pPr>
        <w:adjustRightInd w:val="0"/>
        <w:snapToGrid w:val="0"/>
        <w:spacing w:line="42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1.2纸质响应文件分三个密封袋（箱）提交。其中：</w:t>
      </w:r>
    </w:p>
    <w:p>
      <w:pPr>
        <w:adjustRightInd w:val="0"/>
        <w:snapToGrid w:val="0"/>
        <w:spacing w:line="42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资格审查文件的正、副本纸质响应文件密封在一个单独的密封袋内；</w:t>
      </w:r>
    </w:p>
    <w:p>
      <w:pPr>
        <w:adjustRightInd w:val="0"/>
        <w:snapToGrid w:val="0"/>
        <w:spacing w:line="42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商务技术文件的正、副本纸质响应文件及图纸类（如需提供图纸等其它资料的话）等密封在一个单独的密封袋或密封箱内（如有A3大小的图纸类，可单独密封）；</w:t>
      </w:r>
    </w:p>
    <w:p>
      <w:pPr>
        <w:adjustRightInd w:val="0"/>
        <w:snapToGrid w:val="0"/>
        <w:spacing w:line="42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价格文件的正、副本纸质响应文件密封在一个单独的密封袋内。</w:t>
      </w:r>
    </w:p>
    <w:p>
      <w:pPr>
        <w:adjustRightInd w:val="0"/>
        <w:snapToGrid w:val="0"/>
        <w:spacing w:line="42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1.3纸质投标文件须采用A4纸（图纸等除外），正、副本须打印并由法定代表人或授权人签字并加盖单位印章。文件内容中不得行间插字、涂改、增删，如修补错漏处，须由投标文件签署人签字并加盖公章。</w:t>
      </w:r>
    </w:p>
    <w:p>
      <w:pPr>
        <w:adjustRightInd w:val="0"/>
        <w:snapToGrid w:val="0"/>
        <w:spacing w:line="420" w:lineRule="exact"/>
        <w:ind w:firstLine="562" w:firstLineChars="200"/>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注：凡是响应文件中涉及供应商资信认证、人员证书、业绩荣誉等复印件，和要求法定代表人或授权委托人签字，和以供应商名称落款并注明需要盖章的，均需相应盖章或签字。否则视为未按照采购文件要求盖章或签字。</w:t>
      </w:r>
    </w:p>
    <w:p>
      <w:pPr>
        <w:adjustRightInd w:val="0"/>
        <w:snapToGrid w:val="0"/>
        <w:spacing w:line="42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1.4.电子投标文件（一份，单独密封提交）</w:t>
      </w:r>
    </w:p>
    <w:p>
      <w:pPr>
        <w:adjustRightInd w:val="0"/>
        <w:snapToGrid w:val="0"/>
        <w:spacing w:line="42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本项目要求提供电子响应文件一份，电子响应文件的内容为资格审查文件、商务技术文件、价格文件文件打印盖章（或电子签章）后的响应文件的扫描件（资格审查文件、商务技术文件、价格文件需分别逐页连续扫描为三个独立的PDF文件），可以采取U盘、电子光盘两种方式中任意一种方式提交，需单独密封提交。</w:t>
      </w:r>
    </w:p>
    <w:p>
      <w:pPr>
        <w:adjustRightInd w:val="0"/>
        <w:snapToGrid w:val="0"/>
        <w:spacing w:line="42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电子响应文件内容应与提交的纸质响应文件内容一致。否则，由此产生的后果投标人自负。</w:t>
      </w:r>
    </w:p>
    <w:p>
      <w:pPr>
        <w:adjustRightInd w:val="0"/>
        <w:snapToGrid w:val="0"/>
        <w:spacing w:line="42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1.5响应文件密封后应标明响应文件项目名称、项目编号、边缝处加盖单位骑缝章或骑缝签字等关键信息，</w:t>
      </w:r>
      <w:r>
        <w:rPr>
          <w:rFonts w:hint="eastAsia" w:ascii="宋体" w:hAnsi="宋体" w:cs="宋体"/>
          <w:b/>
          <w:bCs/>
          <w:color w:val="auto"/>
          <w:kern w:val="0"/>
          <w:sz w:val="28"/>
          <w:szCs w:val="28"/>
          <w:highlight w:val="none"/>
        </w:rPr>
        <w:t>密封完好以不泄露投标文件内容为主要判断依据</w:t>
      </w:r>
      <w:r>
        <w:rPr>
          <w:rFonts w:hint="eastAsia" w:ascii="宋体" w:hAnsi="宋体" w:cs="宋体"/>
          <w:color w:val="auto"/>
          <w:kern w:val="0"/>
          <w:sz w:val="28"/>
          <w:szCs w:val="28"/>
          <w:highlight w:val="none"/>
        </w:rPr>
        <w:t>。</w:t>
      </w:r>
    </w:p>
    <w:p>
      <w:pPr>
        <w:adjustRightInd w:val="0"/>
        <w:snapToGrid w:val="0"/>
        <w:spacing w:line="42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1.6递交时间：供应商须在规定的响应文件接收截止时间前送达指定地点。供应商提交投标文件，即视为已响应参加政府采购活动。</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color w:val="auto"/>
          <w:kern w:val="0"/>
          <w:sz w:val="28"/>
          <w:szCs w:val="28"/>
          <w:highlight w:val="none"/>
        </w:rPr>
        <w:t>友情提醒：代理机构将拒绝接收未按照招标文件要求密封的响应文件，拒绝接收在响应文件接收截止时间后递交的响应文件。</w:t>
      </w:r>
    </w:p>
    <w:p>
      <w:pPr>
        <w:adjustRightInd w:val="0"/>
        <w:snapToGrid w:val="0"/>
        <w:spacing w:line="420" w:lineRule="exact"/>
        <w:ind w:firstLine="560" w:firstLineChars="200"/>
        <w:rPr>
          <w:rFonts w:ascii="宋体" w:hAnsi="宋体" w:cs="宋体"/>
          <w:b/>
          <w:color w:val="auto"/>
          <w:sz w:val="28"/>
          <w:szCs w:val="28"/>
          <w:highlight w:val="none"/>
        </w:rPr>
      </w:pPr>
      <w:r>
        <w:rPr>
          <w:rFonts w:hint="eastAsia" w:ascii="宋体" w:hAnsi="宋体" w:cs="宋体"/>
          <w:color w:val="auto"/>
          <w:sz w:val="28"/>
          <w:szCs w:val="28"/>
          <w:highlight w:val="none"/>
        </w:rPr>
        <w:t>2.投标截止日期</w:t>
      </w:r>
      <w:bookmarkEnd w:id="65"/>
      <w:bookmarkEnd w:id="66"/>
      <w:bookmarkEnd w:id="67"/>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2.1 供应商提交响应文件的时间不得迟于招标公告中规定的响应文件提交截止时间。</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供应商应充分考虑到交通路况、停车、疫情管控等风险因素，如因供应商自身原因造成的投标响应文件提交不成功由供应商自行承担全部责任。</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color w:val="auto"/>
          <w:sz w:val="28"/>
          <w:szCs w:val="28"/>
          <w:highlight w:val="none"/>
        </w:rPr>
        <w:t>2.2</w:t>
      </w:r>
      <w:r>
        <w:rPr>
          <w:rFonts w:hint="eastAsia" w:ascii="宋体" w:hAnsi="宋体" w:cs="宋体"/>
          <w:bCs/>
          <w:color w:val="auto"/>
          <w:sz w:val="28"/>
          <w:szCs w:val="28"/>
          <w:highlight w:val="none"/>
        </w:rPr>
        <w:t>代理机构可以按照规定，通过修改招标文件酌情延长投标截止日期，在此情况下，投标人的所有权利和义务以及投标人受制的截止日期均应以延长后新的截止日期为准。</w:t>
      </w:r>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bookmarkStart w:id="68" w:name="_Toc16938543"/>
      <w:bookmarkStart w:id="69" w:name="_Toc20823299"/>
      <w:bookmarkStart w:id="70" w:name="_Toc513029227"/>
      <w:r>
        <w:rPr>
          <w:rFonts w:hint="eastAsia" w:ascii="宋体" w:hAnsi="宋体" w:eastAsia="宋体" w:cs="宋体"/>
          <w:color w:val="auto"/>
          <w:sz w:val="28"/>
          <w:szCs w:val="28"/>
          <w:highlight w:val="none"/>
        </w:rPr>
        <w:t>3.投标文件</w:t>
      </w:r>
      <w:bookmarkEnd w:id="68"/>
      <w:bookmarkEnd w:id="69"/>
      <w:bookmarkEnd w:id="70"/>
      <w:r>
        <w:rPr>
          <w:rFonts w:hint="eastAsia" w:ascii="宋体" w:hAnsi="宋体" w:eastAsia="宋体" w:cs="宋体"/>
          <w:color w:val="auto"/>
          <w:sz w:val="28"/>
          <w:szCs w:val="28"/>
          <w:highlight w:val="none"/>
        </w:rPr>
        <w:t>的拒收</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3.1 代理机构拒绝接收在其规定的投标截止时间后提交的任何投标文件。</w:t>
      </w:r>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bookmarkStart w:id="71" w:name="_Toc20823300"/>
      <w:bookmarkStart w:id="72" w:name="_Toc16938544"/>
      <w:bookmarkStart w:id="73" w:name="_Toc513029228"/>
      <w:r>
        <w:rPr>
          <w:rFonts w:hint="eastAsia" w:ascii="宋体" w:hAnsi="宋体" w:eastAsia="宋体" w:cs="宋体"/>
          <w:color w:val="auto"/>
          <w:sz w:val="28"/>
          <w:szCs w:val="28"/>
          <w:highlight w:val="none"/>
        </w:rPr>
        <w:t>4.投标文件的撤回和修改</w:t>
      </w:r>
      <w:bookmarkEnd w:id="71"/>
      <w:bookmarkEnd w:id="72"/>
      <w:bookmarkEnd w:id="73"/>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4.1 响应文件的撤回</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4.1.1供应商可在响应文件提交截止时间前，书面撤回其投标响应文件。</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4.1.2 投标人撤回投标文件，则认为其不再参与本项目投标活动。</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4.2 投标文件的修改</w:t>
      </w:r>
    </w:p>
    <w:p>
      <w:pPr>
        <w:pStyle w:val="5"/>
        <w:adjustRightInd w:val="0"/>
        <w:snapToGrid w:val="0"/>
        <w:spacing w:before="0" w:after="0" w:line="420" w:lineRule="exact"/>
        <w:ind w:firstLine="560" w:firstLineChars="200"/>
        <w:rPr>
          <w:rFonts w:ascii="宋体" w:hAnsi="宋体" w:cs="宋体"/>
          <w:b w:val="0"/>
          <w:bCs w:val="0"/>
          <w:color w:val="auto"/>
          <w:sz w:val="28"/>
          <w:szCs w:val="28"/>
          <w:highlight w:val="none"/>
        </w:rPr>
      </w:pPr>
      <w:bookmarkStart w:id="74" w:name="_Toc120614218"/>
      <w:bookmarkStart w:id="75" w:name="_Toc513029229"/>
      <w:bookmarkStart w:id="76" w:name="_Toc20823301"/>
      <w:bookmarkStart w:id="77" w:name="_Toc16938545"/>
      <w:r>
        <w:rPr>
          <w:rFonts w:hint="eastAsia" w:ascii="宋体" w:hAnsi="宋体" w:cs="宋体"/>
          <w:b w:val="0"/>
          <w:bCs w:val="0"/>
          <w:color w:val="auto"/>
          <w:sz w:val="28"/>
          <w:szCs w:val="28"/>
          <w:highlight w:val="none"/>
        </w:rPr>
        <w:t>在响应文件提交截止时间之后，供应商不得再对其提交的响应文件进行修改。</w:t>
      </w:r>
    </w:p>
    <w:p>
      <w:pPr>
        <w:pStyle w:val="5"/>
        <w:adjustRightInd w:val="0"/>
        <w:snapToGrid w:val="0"/>
        <w:spacing w:before="0" w:after="0" w:line="420" w:lineRule="exact"/>
        <w:ind w:firstLine="562" w:firstLineChars="200"/>
        <w:rPr>
          <w:rFonts w:ascii="宋体" w:hAnsi="宋体" w:cs="宋体"/>
          <w:color w:val="auto"/>
          <w:sz w:val="28"/>
          <w:szCs w:val="28"/>
          <w:highlight w:val="none"/>
        </w:rPr>
      </w:pPr>
      <w:r>
        <w:rPr>
          <w:rFonts w:hint="eastAsia" w:ascii="宋体" w:hAnsi="宋体" w:cs="宋体"/>
          <w:color w:val="auto"/>
          <w:sz w:val="28"/>
          <w:szCs w:val="28"/>
          <w:highlight w:val="none"/>
        </w:rPr>
        <w:t>五、开标与评标</w:t>
      </w:r>
      <w:bookmarkEnd w:id="74"/>
      <w:bookmarkEnd w:id="75"/>
      <w:bookmarkEnd w:id="76"/>
      <w:bookmarkEnd w:id="77"/>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bookmarkStart w:id="78" w:name="_Toc513029230"/>
      <w:bookmarkStart w:id="79" w:name="_Toc20823302"/>
      <w:bookmarkStart w:id="80" w:name="_Toc16938546"/>
      <w:r>
        <w:rPr>
          <w:rFonts w:hint="eastAsia" w:ascii="宋体" w:hAnsi="宋体" w:eastAsia="宋体" w:cs="宋体"/>
          <w:color w:val="auto"/>
          <w:sz w:val="28"/>
          <w:szCs w:val="28"/>
          <w:highlight w:val="none"/>
        </w:rPr>
        <w:t>1开标</w:t>
      </w:r>
      <w:bookmarkEnd w:id="78"/>
      <w:bookmarkEnd w:id="79"/>
      <w:bookmarkEnd w:id="80"/>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1.1 代理机构将在招标公告中规定的时间和地点组织公开开标。投标人应当按时在指定地点参加开标活动。</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1.2开标仪</w:t>
      </w:r>
      <w:r>
        <w:rPr>
          <w:rFonts w:hint="eastAsia" w:ascii="宋体" w:hAnsi="宋体" w:cs="宋体"/>
          <w:color w:val="auto"/>
          <w:sz w:val="28"/>
          <w:szCs w:val="28"/>
          <w:highlight w:val="none"/>
        </w:rPr>
        <w:t>式由代理机构组织。</w:t>
      </w:r>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bookmarkStart w:id="81" w:name="_Toc16938547"/>
      <w:bookmarkStart w:id="82" w:name="_Toc513029231"/>
      <w:bookmarkStart w:id="83" w:name="_Toc20823303"/>
      <w:r>
        <w:rPr>
          <w:rFonts w:hint="eastAsia" w:ascii="宋体" w:hAnsi="宋体" w:eastAsia="宋体" w:cs="宋体"/>
          <w:color w:val="auto"/>
          <w:sz w:val="28"/>
          <w:szCs w:val="28"/>
          <w:highlight w:val="none"/>
        </w:rPr>
        <w:t>2评标委员会</w:t>
      </w:r>
    </w:p>
    <w:p>
      <w:pPr>
        <w:adjustRightInd w:val="0"/>
        <w:snapToGrid w:val="0"/>
        <w:spacing w:line="420" w:lineRule="exact"/>
        <w:ind w:firstLine="560" w:firstLineChars="200"/>
        <w:rPr>
          <w:rFonts w:ascii="宋体" w:hAnsi="宋体" w:cs="宋体"/>
          <w:b/>
          <w:color w:val="auto"/>
          <w:sz w:val="28"/>
          <w:szCs w:val="28"/>
          <w:highlight w:val="none"/>
        </w:rPr>
      </w:pPr>
      <w:r>
        <w:rPr>
          <w:rFonts w:hint="eastAsia" w:ascii="宋体" w:hAnsi="宋体" w:cs="宋体"/>
          <w:color w:val="auto"/>
          <w:sz w:val="28"/>
          <w:szCs w:val="28"/>
          <w:highlight w:val="none"/>
        </w:rPr>
        <w:t>2.1开标后，代理机构将立即组织评标委员会（以下简称评委会）进行评标。</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2.2 评委会由招标人代表和有关技术、经济等方面的专家组成，且人员构成符合政府采购有关规定。</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2.3评委会独立工作，负责评审所有投标文件并确定中标侯选人。</w:t>
      </w:r>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3.评标过程的保密与公正</w:t>
      </w:r>
    </w:p>
    <w:bookmarkEnd w:id="81"/>
    <w:bookmarkEnd w:id="82"/>
    <w:bookmarkEnd w:id="83"/>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color w:val="auto"/>
          <w:sz w:val="28"/>
          <w:szCs w:val="28"/>
          <w:highlight w:val="none"/>
        </w:rPr>
        <w:t>3.1</w:t>
      </w:r>
      <w:r>
        <w:rPr>
          <w:rFonts w:hint="eastAsia" w:ascii="宋体" w:hAnsi="宋体" w:cs="宋体"/>
          <w:bCs/>
          <w:color w:val="auto"/>
          <w:sz w:val="28"/>
          <w:szCs w:val="28"/>
          <w:highlight w:val="none"/>
        </w:rPr>
        <w:t>公开开标后，直至向中标的投标人授予合同时止，凡是与审查、澄清、评价和比较投标的有关资料以及授标建议等，招标人、评委、代理机构均不得向投标人或与评标无关的其他人员透露。</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3.2在评标过程中，投标人不得以任何行为影响评标过程，否则其投标文件将被作为无效投标文件。</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3.3在评标期间，代理机构将设专门人员与投标人联系。</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3.4 代理机构和评标委员会不向未中标的投标人解释未中标原因，也不公布评标过程中的相关细节。</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3.5 采用综合评分法的项目，公布评标结果时一并公布所有投标人的评审得分及排序情况。</w:t>
      </w:r>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bookmarkStart w:id="84" w:name="_Toc513029232"/>
      <w:bookmarkStart w:id="85" w:name="_Toc20823304"/>
      <w:bookmarkStart w:id="86" w:name="_Toc16938548"/>
      <w:r>
        <w:rPr>
          <w:rFonts w:hint="eastAsia" w:ascii="宋体" w:hAnsi="宋体" w:eastAsia="宋体" w:cs="宋体"/>
          <w:color w:val="auto"/>
          <w:sz w:val="28"/>
          <w:szCs w:val="28"/>
          <w:highlight w:val="none"/>
        </w:rPr>
        <w:t>4.投标的澄清</w:t>
      </w:r>
      <w:bookmarkEnd w:id="84"/>
      <w:bookmarkEnd w:id="85"/>
      <w:bookmarkEnd w:id="86"/>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4.1评标期间，为有助于对投标文件的审查、评价和比较，评委会有权要求投标人对其投标文件进行澄清，但并非对每个投标人都作澄清要求。</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4.2接到评委会澄清要求的投标人应按评委会规定的时间和格式做出澄清，澄清的内容作为投标文件的补充部分，但投标的价格和实质性的内容不得做任何更改。</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4.3 接到评委会澄清要求的投标人如未按规定做出澄清，其风险由投标人自行承担。</w:t>
      </w:r>
    </w:p>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bookmarkStart w:id="87" w:name="_Toc16938549"/>
      <w:bookmarkStart w:id="88" w:name="_Toc513029233"/>
      <w:bookmarkStart w:id="89" w:name="_Toc20823305"/>
      <w:r>
        <w:rPr>
          <w:rFonts w:hint="eastAsia" w:ascii="宋体" w:hAnsi="宋体" w:eastAsia="宋体" w:cs="宋体"/>
          <w:color w:val="auto"/>
          <w:sz w:val="28"/>
          <w:szCs w:val="28"/>
          <w:highlight w:val="none"/>
        </w:rPr>
        <w:t>5对投标文件的初审</w:t>
      </w:r>
      <w:bookmarkEnd w:id="87"/>
      <w:bookmarkEnd w:id="88"/>
      <w:bookmarkEnd w:id="89"/>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color w:val="auto"/>
          <w:sz w:val="28"/>
          <w:szCs w:val="28"/>
          <w:highlight w:val="none"/>
        </w:rPr>
        <w:t>5.1</w:t>
      </w:r>
      <w:r>
        <w:rPr>
          <w:rFonts w:hint="eastAsia" w:ascii="宋体" w:hAnsi="宋体" w:cs="宋体"/>
          <w:bCs/>
          <w:color w:val="auto"/>
          <w:sz w:val="28"/>
          <w:szCs w:val="28"/>
          <w:highlight w:val="none"/>
        </w:rPr>
        <w:t>投标文件初审分为资格审查和符合性审查。</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5.1.1 资格审查：依据法律法规和招标文件的规定，由招标人对投标文件中的资格证明文件进行审查。</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5.1.2 符合性审查：依据招标文件的规定，由评委会从投标文件的有效性、完整性和对招标文件的响应程度进行审查，以确定是否对招标文件的实质性要求作出响应。</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5.1.3 未通过资格审查或符合性审查的投标人，代理机构将告知未通过资格审查或符合性审查的原因。</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5.2在详细评标之前，评委会将首先审查每份投标文件是否实质性响应了招标文件的要求。实质性响应的投标应该是与招标文件要求的全部条款、条件和规格相符，没有重大偏离或保留的投标。</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color w:val="auto"/>
          <w:sz w:val="28"/>
          <w:szCs w:val="28"/>
          <w:highlight w:val="none"/>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重大偏离的认定需经过评委会以少数服从多数的原则作出结论。</w:t>
      </w:r>
      <w:r>
        <w:rPr>
          <w:rFonts w:hint="eastAsia" w:ascii="宋体" w:hAnsi="宋体" w:cs="宋体"/>
          <w:bCs/>
          <w:color w:val="auto"/>
          <w:sz w:val="28"/>
          <w:szCs w:val="28"/>
          <w:highlight w:val="none"/>
        </w:rPr>
        <w:t>评委决定投标文件的响应性只根据投标文件本身的内容，而不寻求外部的证据。</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color w:val="auto"/>
          <w:sz w:val="28"/>
          <w:szCs w:val="28"/>
          <w:highlight w:val="none"/>
        </w:rPr>
        <w:t>5.3</w:t>
      </w:r>
      <w:r>
        <w:rPr>
          <w:rFonts w:hint="eastAsia" w:ascii="宋体" w:hAnsi="宋体" w:cs="宋体"/>
          <w:bCs/>
          <w:color w:val="auto"/>
          <w:sz w:val="28"/>
          <w:szCs w:val="28"/>
          <w:highlight w:val="none"/>
        </w:rPr>
        <w:t>如果投标文件实质上没有响应招标文件的要求，评委会将予以拒绝，投标人不得通过修改或撤销不合要求的偏离或保留而使其投标成为实质性响应的投标。</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color w:val="auto"/>
          <w:sz w:val="28"/>
          <w:szCs w:val="28"/>
          <w:highlight w:val="none"/>
        </w:rPr>
        <w:t>5.4</w:t>
      </w:r>
      <w:r>
        <w:rPr>
          <w:rFonts w:hint="eastAsia" w:ascii="宋体" w:hAnsi="宋体" w:cs="宋体"/>
          <w:bCs/>
          <w:color w:val="auto"/>
          <w:sz w:val="28"/>
          <w:szCs w:val="28"/>
          <w:highlight w:val="none"/>
        </w:rPr>
        <w:t>评委会将对确定为实质性响应的投标进行进一步审核，看其是否有计算上或累加上的算术错误，修正错误的原则如下：</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（1）投标文件中开标一览表内容与投标文件中相应内容不一致的，以开标一览表为准。</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（2）大写金额和小写金额不一致的，以大写金额为准。</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（3）单价金额小数点或者百分比有明显错位的，以开标一览表的总价为准，并修改单价。</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（4）总价金额与按单价汇总金额不一致的，以单价金额计算结果为准。</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同时出现两种以上错误的，按照前款规定的顺序修正。</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color w:val="auto"/>
          <w:sz w:val="28"/>
          <w:szCs w:val="28"/>
          <w:highlight w:val="none"/>
        </w:rPr>
        <w:t>5.5</w:t>
      </w:r>
      <w:r>
        <w:rPr>
          <w:rFonts w:hint="eastAsia" w:ascii="宋体" w:hAnsi="宋体" w:cs="宋体"/>
          <w:bCs/>
          <w:color w:val="auto"/>
          <w:sz w:val="28"/>
          <w:szCs w:val="28"/>
          <w:highlight w:val="none"/>
        </w:rPr>
        <w:t>评委会将按上述修正错误的方法调整投标文件中的投标报价，并告知投标人，调整后的价格应对投标人具有约束力。如果投标人不接受修正后的价格，则其投标将被拒绝。</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color w:val="auto"/>
          <w:sz w:val="28"/>
          <w:szCs w:val="28"/>
          <w:highlight w:val="none"/>
        </w:rPr>
        <w:t>5.6</w:t>
      </w:r>
      <w:r>
        <w:rPr>
          <w:rFonts w:hint="eastAsia" w:ascii="宋体" w:hAnsi="宋体" w:cs="宋体"/>
          <w:bCs/>
          <w:color w:val="auto"/>
          <w:sz w:val="28"/>
          <w:szCs w:val="28"/>
          <w:highlight w:val="none"/>
        </w:rPr>
        <w:t>评委会将允许修正投标文件中不构成重大偏离的、微小的、非正规的、不一致的或不规则的地方，但这些修改不能影响任何投标人相应的名次排列。</w:t>
      </w:r>
    </w:p>
    <w:p>
      <w:pPr>
        <w:adjustRightInd w:val="0"/>
        <w:snapToGrid w:val="0"/>
        <w:spacing w:line="420" w:lineRule="exact"/>
        <w:ind w:firstLine="560" w:firstLineChars="200"/>
        <w:rPr>
          <w:rFonts w:ascii="宋体" w:hAnsi="宋体" w:cs="宋体"/>
          <w:color w:val="auto"/>
          <w:sz w:val="28"/>
          <w:szCs w:val="28"/>
          <w:highlight w:val="none"/>
        </w:rPr>
      </w:pPr>
      <w:bookmarkStart w:id="90" w:name="_Toc513029234"/>
      <w:bookmarkStart w:id="91" w:name="_Toc20823306"/>
      <w:bookmarkStart w:id="92" w:name="_Toc16938550"/>
      <w:r>
        <w:rPr>
          <w:rFonts w:hint="eastAsia" w:ascii="宋体" w:hAnsi="宋体" w:cs="宋体"/>
          <w:color w:val="auto"/>
          <w:sz w:val="28"/>
          <w:szCs w:val="28"/>
          <w:highlight w:val="none"/>
        </w:rPr>
        <w:t>5.7投标人在开、评标全过程中应保持通讯畅通，并安排专人与代理机构及评标委员会联系。</w:t>
      </w:r>
    </w:p>
    <w:bookmarkEnd w:id="90"/>
    <w:bookmarkEnd w:id="91"/>
    <w:bookmarkEnd w:id="92"/>
    <w:p>
      <w:pPr>
        <w:pStyle w:val="6"/>
        <w:adjustRightInd w:val="0"/>
        <w:snapToGrid w:val="0"/>
        <w:spacing w:line="420" w:lineRule="exact"/>
        <w:ind w:firstLine="560" w:firstLineChars="200"/>
        <w:jc w:val="both"/>
        <w:rPr>
          <w:rFonts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6.无效投标条款和废标条款</w:t>
      </w:r>
    </w:p>
    <w:p>
      <w:pPr>
        <w:tabs>
          <w:tab w:val="left" w:pos="6555"/>
          <w:tab w:val="right" w:pos="8306"/>
        </w:tabs>
        <w:adjustRightInd w:val="0"/>
        <w:snapToGrid w:val="0"/>
        <w:spacing w:line="420" w:lineRule="exact"/>
        <w:ind w:firstLine="560" w:firstLineChars="200"/>
        <w:rPr>
          <w:rFonts w:ascii="宋体" w:hAnsi="宋体" w:cs="宋体"/>
          <w:b/>
          <w:color w:val="auto"/>
          <w:sz w:val="28"/>
          <w:szCs w:val="28"/>
          <w:highlight w:val="none"/>
        </w:rPr>
      </w:pPr>
      <w:bookmarkStart w:id="93" w:name="_Toc513029235"/>
      <w:bookmarkStart w:id="94" w:name="_Toc20823307"/>
      <w:bookmarkStart w:id="95" w:name="_Toc16938551"/>
      <w:r>
        <w:rPr>
          <w:rFonts w:hint="eastAsia" w:ascii="宋体" w:hAnsi="宋体" w:cs="宋体"/>
          <w:bCs/>
          <w:color w:val="auto"/>
          <w:sz w:val="28"/>
          <w:szCs w:val="28"/>
          <w:highlight w:val="none"/>
        </w:rPr>
        <w:t>6.1出现下列情形之一的，作无效响应处理。</w:t>
      </w:r>
      <w:r>
        <w:rPr>
          <w:rFonts w:hint="eastAsia" w:ascii="宋体" w:hAnsi="宋体" w:cs="宋体"/>
          <w:bCs/>
          <w:color w:val="auto"/>
          <w:sz w:val="28"/>
          <w:szCs w:val="28"/>
          <w:highlight w:val="none"/>
        </w:rPr>
        <w:tab/>
      </w:r>
      <w:r>
        <w:rPr>
          <w:rFonts w:hint="eastAsia" w:ascii="宋体" w:hAnsi="宋体" w:cs="宋体"/>
          <w:b/>
          <w:color w:val="auto"/>
          <w:sz w:val="28"/>
          <w:szCs w:val="28"/>
          <w:highlight w:val="none"/>
        </w:rPr>
        <w:tab/>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6.1.1供应商在规定的时间内未成功提交响应文件的。</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6.1.2未完整提交响应文件的。</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6.1.3同一投标人提交两个（含两个）以上不同的响应报价的。</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 xml:space="preserve">6.1.4不具备招标文件中规定的资格要求的。 </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6.1.5未通过符合性检查的。</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6.1.6不符合法律、法规和招标文件中规定的其他实质性要求的。</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6.1.7供应商被 “信用中国”网站（www.creditchina.gov.cn）列入失信被执行人或重大税收违法案件当事人名单或采购严重失信行为记录名单，或查询“信用中国”网站后发现供应商存在其他不符合合格投标人资格条件的信用记录。</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6.1.8响应文件含有招标人不能接受的附加条件的。</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6.1.9评标小组认为投标人的报价明显低于其他通过符合性审查供应商的报价，有可能影响产品质量或者不能诚信履约的，将要求其在合理的时间内提供说明，必要时提交相关证明材料；投标人不能证明其报价合理性的，评标小组应当将其作为无效响应处理。</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6.1.10本项目采购产品被财政部、国家发改委、生态环境部等列入“节能产品品目清单”、“环境标志产品品目清单”强制采购范围，而供应商所投标产品不在强制采购范围内的（所投产品如属于政府强制采购节能产品品目清单范围内，响应文件中必须提供国家确定的认证机构出具的、处于有效期之内的该节能产品认证证书图片）。</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6.1.11响应文件未按照招标文件要求盖章、密封的。</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6.1.12投标人的商务技术部分得分相差悬殊，评标委员会认为得分畸低者没有实质性响应的。</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6.1.13其他法律、法规及本招标文件规定的属无效响应的情形。</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6.2废标条款：</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6.2.1符合专业条件的供应商或者对招标文件作实质响应的供应商不足三家的。</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6.2.2出现影响采购公正的违法、违规行为的。</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6.2.3因重大变故，采购任务取消的。</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6.2.4评标委员会认定招标文件存在歧义、重大缺陷导致评审工作无法进行。</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6.2.5 因系统故障原因造成开评标无法继续进行的（适用于不见面开标模式）。</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6.3 投标截止时间结束后参加投标的供应商不足三家的处理：</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6.3.1如出现投标截止时间结束后参加投标的供应商或者在评标期间对招标文件做出实质响应的供应商不足三家情况，按政府采购相关规定执行。</w:t>
      </w:r>
    </w:p>
    <w:bookmarkEnd w:id="93"/>
    <w:bookmarkEnd w:id="94"/>
    <w:bookmarkEnd w:id="95"/>
    <w:p>
      <w:pPr>
        <w:pStyle w:val="5"/>
        <w:adjustRightInd w:val="0"/>
        <w:snapToGrid w:val="0"/>
        <w:spacing w:before="0" w:after="0" w:line="420" w:lineRule="exact"/>
        <w:ind w:firstLine="562" w:firstLineChars="200"/>
        <w:rPr>
          <w:rFonts w:ascii="宋体" w:hAnsi="宋体" w:cs="宋体"/>
          <w:color w:val="auto"/>
          <w:sz w:val="28"/>
          <w:szCs w:val="28"/>
          <w:highlight w:val="none"/>
        </w:rPr>
      </w:pPr>
      <w:bookmarkStart w:id="96" w:name="_Toc120614219"/>
      <w:r>
        <w:rPr>
          <w:rFonts w:hint="eastAsia" w:ascii="宋体" w:hAnsi="宋体" w:cs="宋体"/>
          <w:color w:val="auto"/>
          <w:sz w:val="28"/>
          <w:szCs w:val="28"/>
          <w:highlight w:val="none"/>
        </w:rPr>
        <w:t>六、定标</w:t>
      </w:r>
      <w:bookmarkEnd w:id="96"/>
    </w:p>
    <w:p>
      <w:pPr>
        <w:pStyle w:val="6"/>
        <w:adjustRightInd w:val="0"/>
        <w:snapToGrid w:val="0"/>
        <w:spacing w:line="420" w:lineRule="exact"/>
        <w:ind w:firstLine="560" w:firstLineChars="200"/>
        <w:jc w:val="both"/>
        <w:rPr>
          <w:rFonts w:ascii="宋体" w:hAnsi="宋体" w:eastAsia="宋体" w:cs="宋体"/>
          <w:b/>
          <w:color w:val="auto"/>
          <w:sz w:val="28"/>
          <w:szCs w:val="28"/>
          <w:highlight w:val="none"/>
        </w:rPr>
      </w:pPr>
      <w:bookmarkStart w:id="97" w:name="_Toc16938554"/>
      <w:bookmarkStart w:id="98" w:name="_Toc20823310"/>
      <w:r>
        <w:rPr>
          <w:rFonts w:hint="eastAsia" w:ascii="宋体" w:hAnsi="宋体" w:eastAsia="宋体" w:cs="宋体"/>
          <w:color w:val="auto"/>
          <w:sz w:val="28"/>
          <w:szCs w:val="28"/>
          <w:highlight w:val="none"/>
        </w:rPr>
        <w:t>1.确定</w:t>
      </w:r>
      <w:bookmarkEnd w:id="97"/>
      <w:bookmarkEnd w:id="98"/>
      <w:r>
        <w:rPr>
          <w:rFonts w:hint="eastAsia" w:ascii="宋体" w:hAnsi="宋体" w:eastAsia="宋体" w:cs="宋体"/>
          <w:color w:val="auto"/>
          <w:sz w:val="28"/>
          <w:szCs w:val="28"/>
          <w:highlight w:val="none"/>
        </w:rPr>
        <w:t>中标单位</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 xml:space="preserve">1.1中标候选人的选取原则和数量见招标文件第四部分规定。 </w:t>
      </w:r>
    </w:p>
    <w:p>
      <w:pPr>
        <w:adjustRightInd w:val="0"/>
        <w:snapToGrid w:val="0"/>
        <w:spacing w:line="42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1.2招标人授权评委会在中标候选人中直接确定中标人。</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1.3</w:t>
      </w:r>
      <w:r>
        <w:rPr>
          <w:rFonts w:hint="eastAsia" w:ascii="宋体" w:hAnsi="宋体" w:cs="宋体"/>
          <w:color w:val="auto"/>
          <w:sz w:val="28"/>
          <w:szCs w:val="28"/>
          <w:highlight w:val="none"/>
        </w:rPr>
        <w:t>代理机构将在“江苏航运职业技术学院网站”发布中标公告，公告期限为1个工作日。</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1.4若有充分证据证明，中标人出现下列情况之一的，一经查实，将被取消中标资格：</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1.4.1提供虚假材料谋取中标的。</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1.4.2向招标人、代理机构行贿或者提供其他不正当利益的。</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1.4.3恶意竞争，投标总报价明显低于其自身合理成本且又无法提供证明的。</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1.4.4属于本文件规定的无效条件，但在评标过程中又未被评委会发现的。</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1.4.5与招标人或者其他供应商恶意串通的。</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1.4.6采取不正当手段诋毁、排挤其他供应商的。</w:t>
      </w:r>
    </w:p>
    <w:p>
      <w:pPr>
        <w:adjustRightInd w:val="0"/>
        <w:snapToGrid w:val="0"/>
        <w:spacing w:line="420" w:lineRule="exact"/>
        <w:ind w:firstLine="560" w:firstLineChars="200"/>
        <w:rPr>
          <w:rFonts w:ascii="宋体" w:hAnsi="宋体" w:cs="宋体"/>
          <w:color w:val="auto"/>
          <w:sz w:val="28"/>
          <w:szCs w:val="28"/>
          <w:highlight w:val="none"/>
        </w:rPr>
      </w:pPr>
      <w:bookmarkStart w:id="99" w:name="_Toc200451960"/>
      <w:r>
        <w:rPr>
          <w:rFonts w:hint="eastAsia" w:ascii="宋体" w:hAnsi="宋体" w:cs="宋体"/>
          <w:color w:val="auto"/>
          <w:sz w:val="28"/>
          <w:szCs w:val="28"/>
          <w:highlight w:val="none"/>
        </w:rPr>
        <w:t>1.5.</w:t>
      </w:r>
      <w:r>
        <w:rPr>
          <w:rFonts w:hint="eastAsia" w:ascii="宋体" w:hAnsi="宋体" w:cs="宋体"/>
          <w:color w:val="auto"/>
          <w:kern w:val="0"/>
          <w:sz w:val="28"/>
          <w:szCs w:val="28"/>
          <w:highlight w:val="none"/>
        </w:rPr>
        <w:t>有下列情形之一的，视为投标人串通投标，投标无效：</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1.5.1不同投标人的投标文件由同一单位或者个人编制；</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1.5.2不同投标人委托同一单位或者个人办理投标事宜；</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1.5.3不同投标人的投标文件载明的项目管理成员或者联系人员为同一人；</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1.5.4不同投标人的投标文件异常一致或者投标报价呈规律性差异；</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1.5.5不同投标人的投标文件相互混装；</w:t>
      </w:r>
    </w:p>
    <w:p>
      <w:pPr>
        <w:pStyle w:val="6"/>
        <w:adjustRightInd w:val="0"/>
        <w:snapToGrid w:val="0"/>
        <w:spacing w:line="420" w:lineRule="exact"/>
        <w:ind w:firstLine="560" w:firstLineChars="200"/>
        <w:jc w:val="both"/>
        <w:rPr>
          <w:rFonts w:ascii="宋体" w:hAnsi="宋体" w:eastAsia="宋体" w:cs="宋体"/>
          <w:b/>
          <w:color w:val="auto"/>
          <w:sz w:val="28"/>
          <w:szCs w:val="28"/>
          <w:highlight w:val="none"/>
        </w:rPr>
      </w:pPr>
      <w:r>
        <w:rPr>
          <w:rFonts w:hint="eastAsia" w:ascii="宋体" w:hAnsi="宋体" w:eastAsia="宋体" w:cs="宋体"/>
          <w:color w:val="auto"/>
          <w:sz w:val="28"/>
          <w:szCs w:val="28"/>
          <w:highlight w:val="none"/>
        </w:rPr>
        <w:t>2.质疑处理</w:t>
      </w:r>
      <w:bookmarkEnd w:id="99"/>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2.1 提出质疑的供应商应当是参与所质疑项目采购活动的供应商。潜在供应商依法获取其可质疑的采购文件的，可以对采购文件提出质疑。</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2.2供应商认为采购文件、采购过程和采购结果使自己的权益受到损害的，可以在知道或应知其权益受到损害之日起七个工作日内，以书面形式向代理机构或招标人提出质疑。上述应知其权益受到损害之日，是指：</w:t>
      </w:r>
    </w:p>
    <w:p>
      <w:pPr>
        <w:adjustRightInd w:val="0"/>
        <w:snapToGrid w:val="0"/>
        <w:spacing w:line="420" w:lineRule="exact"/>
        <w:ind w:firstLine="560" w:firstLineChars="200"/>
        <w:rPr>
          <w:rFonts w:ascii="宋体" w:hAnsi="宋体" w:cs="宋体"/>
          <w:color w:val="auto"/>
          <w:kern w:val="0"/>
          <w:sz w:val="28"/>
          <w:szCs w:val="28"/>
          <w:highlight w:val="none"/>
        </w:rPr>
      </w:pPr>
      <w:r>
        <w:rPr>
          <w:rFonts w:hint="eastAsia" w:ascii="宋体" w:hAnsi="宋体" w:cs="宋体"/>
          <w:color w:val="auto"/>
          <w:sz w:val="28"/>
          <w:szCs w:val="28"/>
          <w:highlight w:val="none"/>
        </w:rPr>
        <w:t>2.2.1</w:t>
      </w:r>
      <w:r>
        <w:rPr>
          <w:rFonts w:hint="eastAsia" w:ascii="宋体" w:hAnsi="宋体" w:cs="宋体"/>
          <w:color w:val="auto"/>
          <w:kern w:val="0"/>
          <w:sz w:val="28"/>
          <w:szCs w:val="28"/>
          <w:highlight w:val="none"/>
        </w:rPr>
        <w:t>对可以质疑的采购文件提出质疑的，为收到采购文件之日或者采购文件公告期限届满之日；</w:t>
      </w:r>
    </w:p>
    <w:p>
      <w:pPr>
        <w:adjustRightInd w:val="0"/>
        <w:snapToGrid w:val="0"/>
        <w:spacing w:line="420" w:lineRule="exact"/>
        <w:ind w:firstLine="562" w:firstLineChars="200"/>
        <w:rPr>
          <w:rFonts w:ascii="宋体" w:hAnsi="宋体" w:cs="宋体"/>
          <w:b/>
          <w:bCs/>
          <w:color w:val="auto"/>
          <w:kern w:val="0"/>
          <w:sz w:val="28"/>
          <w:szCs w:val="28"/>
          <w:highlight w:val="none"/>
        </w:rPr>
      </w:pPr>
      <w:r>
        <w:rPr>
          <w:rFonts w:hint="eastAsia" w:ascii="宋体" w:hAnsi="宋体" w:cs="宋体"/>
          <w:b/>
          <w:bCs/>
          <w:color w:val="auto"/>
          <w:sz w:val="28"/>
          <w:szCs w:val="28"/>
          <w:highlight w:val="none"/>
        </w:rPr>
        <w:t>2.2.2</w:t>
      </w:r>
      <w:r>
        <w:rPr>
          <w:rFonts w:hint="eastAsia" w:ascii="宋体" w:hAnsi="宋体" w:cs="宋体"/>
          <w:b/>
          <w:bCs/>
          <w:color w:val="auto"/>
          <w:kern w:val="0"/>
          <w:sz w:val="28"/>
          <w:szCs w:val="28"/>
          <w:highlight w:val="none"/>
        </w:rPr>
        <w:t>对采购过程提出质疑的，为各采购程序环节结束之日；</w:t>
      </w:r>
    </w:p>
    <w:p>
      <w:pPr>
        <w:adjustRightInd w:val="0"/>
        <w:snapToGrid w:val="0"/>
        <w:spacing w:line="4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其中：对评审过程中涉及到的密封检查、身份核对、澄清等和程序性事项，供应商如有异议的，必须当场提出。否则，均视为供应商无异议。无论是否成交，供应商事后不得再就前述事项提出任何异议或质疑投诉。</w:t>
      </w:r>
    </w:p>
    <w:p>
      <w:pPr>
        <w:adjustRightInd w:val="0"/>
        <w:snapToGrid w:val="0"/>
        <w:spacing w:line="420" w:lineRule="exact"/>
        <w:ind w:firstLine="560" w:firstLineChars="200"/>
        <w:rPr>
          <w:rFonts w:ascii="宋体" w:hAnsi="宋体" w:cs="宋体"/>
          <w:color w:val="auto"/>
          <w:kern w:val="0"/>
          <w:sz w:val="28"/>
          <w:szCs w:val="28"/>
          <w:highlight w:val="none"/>
        </w:rPr>
      </w:pPr>
      <w:r>
        <w:rPr>
          <w:rFonts w:hint="eastAsia" w:ascii="宋体" w:hAnsi="宋体" w:cs="宋体"/>
          <w:color w:val="auto"/>
          <w:sz w:val="28"/>
          <w:szCs w:val="28"/>
          <w:highlight w:val="none"/>
        </w:rPr>
        <w:t>2.2.3</w:t>
      </w:r>
      <w:r>
        <w:rPr>
          <w:rFonts w:hint="eastAsia" w:ascii="宋体" w:hAnsi="宋体" w:cs="宋体"/>
          <w:color w:val="auto"/>
          <w:kern w:val="0"/>
          <w:sz w:val="28"/>
          <w:szCs w:val="28"/>
          <w:highlight w:val="none"/>
        </w:rPr>
        <w:t>对中标或者成交结果提出质疑的，为中标或者成交结果公告期限届满之日。</w:t>
      </w:r>
    </w:p>
    <w:p>
      <w:pPr>
        <w:adjustRightInd w:val="0"/>
        <w:snapToGrid w:val="0"/>
        <w:spacing w:line="42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供应商应当在法定质疑期内一次性提出针对同一采购程序环节的质疑。</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2.3质疑函必须按照本招标文件中《质疑函范本》要求的格式和内容进行填写。</w:t>
      </w:r>
    </w:p>
    <w:p>
      <w:pPr>
        <w:adjustRightInd w:val="0"/>
        <w:snapToGrid w:val="0"/>
        <w:spacing w:line="420" w:lineRule="exact"/>
        <w:ind w:firstLine="560" w:firstLineChars="200"/>
        <w:rPr>
          <w:rFonts w:ascii="宋体" w:hAnsi="宋体" w:cs="宋体"/>
          <w:b/>
          <w:color w:val="auto"/>
          <w:sz w:val="28"/>
          <w:szCs w:val="28"/>
          <w:highlight w:val="none"/>
        </w:rPr>
      </w:pPr>
      <w:r>
        <w:rPr>
          <w:rFonts w:hint="eastAsia" w:ascii="宋体" w:hAnsi="宋体" w:cs="宋体"/>
          <w:color w:val="auto"/>
          <w:sz w:val="28"/>
          <w:szCs w:val="28"/>
          <w:highlight w:val="none"/>
        </w:rPr>
        <w:t>2.4对采购方式、招标文件中项目需求、供应商资格条件、评标方法和评标标准、资格审查结果等应当由招标人答复的质疑，请向招标人提出，由招标人负责答复。供应商对其他事项的质疑，请向代理机构提出，由代理机构负责答复。</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供应商提起质疑采取书面形式，可以现场送达，也可以邮寄。</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质疑受理联系地址：南通市崇川路58号南通产业技术研究院9号楼10楼1004，联系电话：0513-55887688。</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招标人质疑接收人及联系方式，见招标文件第一部分。</w:t>
      </w:r>
    </w:p>
    <w:p>
      <w:pPr>
        <w:adjustRightInd w:val="0"/>
        <w:snapToGrid w:val="0"/>
        <w:spacing w:line="4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2.5供应商提出质疑应当提交质疑函和必要的证明材料，否则不予受理。质疑函应当包括下列内容：</w:t>
      </w:r>
    </w:p>
    <w:p>
      <w:pPr>
        <w:adjustRightInd w:val="0"/>
        <w:snapToGrid w:val="0"/>
        <w:spacing w:line="4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供应商的姓名或者名称、地址、邮编、联系人及联系电话；</w:t>
      </w:r>
    </w:p>
    <w:p>
      <w:pPr>
        <w:adjustRightInd w:val="0"/>
        <w:snapToGrid w:val="0"/>
        <w:spacing w:line="4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质疑项目的名称、编号；</w:t>
      </w:r>
    </w:p>
    <w:p>
      <w:pPr>
        <w:adjustRightInd w:val="0"/>
        <w:snapToGrid w:val="0"/>
        <w:spacing w:line="4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具体、明确的质疑事项和与质疑事项相关的请求；</w:t>
      </w:r>
    </w:p>
    <w:p>
      <w:pPr>
        <w:adjustRightInd w:val="0"/>
        <w:snapToGrid w:val="0"/>
        <w:spacing w:line="4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事实依据；</w:t>
      </w:r>
    </w:p>
    <w:p>
      <w:pPr>
        <w:adjustRightInd w:val="0"/>
        <w:snapToGrid w:val="0"/>
        <w:spacing w:line="4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必要的法律依据；</w:t>
      </w:r>
    </w:p>
    <w:p>
      <w:pPr>
        <w:adjustRightInd w:val="0"/>
        <w:snapToGrid w:val="0"/>
        <w:spacing w:line="4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提出质疑的日期。</w:t>
      </w:r>
    </w:p>
    <w:p>
      <w:pPr>
        <w:adjustRightInd w:val="0"/>
        <w:snapToGrid w:val="0"/>
        <w:spacing w:line="42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供应商为自然人的，应当由本人签字；供应商为法人或者其他组织的，应当由法定代表人、主要负责人，或者其授权代表签字或者盖章，并加盖公章。</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2.5 以下情形的质疑不予受理</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2.5.1 内容不符合上述规定的质疑。</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2.5.2 超出采购法定期限的质疑。</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2.5.3 未参加招标活动的供应商或在招标活动中自身权益未受到损害的供应商所提出的质疑。</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2.6 投标人提出书面质疑必须有理、有据，不得捏造事实、提供虚假材料进行恶意质疑。否则，一经查实，招标代理机构有权依据招标的有关规定，报请采购监管部门对该供应商进行相应的行政处罚和记录该供应商的失信信息。</w:t>
      </w:r>
    </w:p>
    <w:p>
      <w:pPr>
        <w:pStyle w:val="6"/>
        <w:adjustRightInd w:val="0"/>
        <w:snapToGrid w:val="0"/>
        <w:spacing w:line="420" w:lineRule="exact"/>
        <w:ind w:firstLine="560" w:firstLineChars="200"/>
        <w:jc w:val="both"/>
        <w:rPr>
          <w:rFonts w:ascii="宋体" w:hAnsi="宋体" w:eastAsia="宋体" w:cs="宋体"/>
          <w:b/>
          <w:color w:val="auto"/>
          <w:sz w:val="28"/>
          <w:szCs w:val="28"/>
          <w:highlight w:val="none"/>
        </w:rPr>
      </w:pPr>
      <w:r>
        <w:rPr>
          <w:rFonts w:hint="eastAsia" w:ascii="宋体" w:hAnsi="宋体" w:eastAsia="宋体" w:cs="宋体"/>
          <w:color w:val="auto"/>
          <w:sz w:val="28"/>
          <w:szCs w:val="28"/>
          <w:highlight w:val="none"/>
        </w:rPr>
        <w:t>3.中标通知书</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3.l中标结果确定后，招标人将向中标供应商发出中标通知书。成交供应商应在成交结果公告期满后5个工作日内到采购代理机构办理领取成交通知书手续，否则，由此产生的后果供应商自负。</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3.2中标通知书将是合同的一个组成部分。对招标人和中标供应商均具有法律效力。中标通知书发出后，招标人改变中标结果的，或者中标供应商放弃中标项目的，应当依法承担法律责任。</w:t>
      </w:r>
    </w:p>
    <w:p>
      <w:pPr>
        <w:pStyle w:val="5"/>
        <w:adjustRightInd w:val="0"/>
        <w:snapToGrid w:val="0"/>
        <w:spacing w:before="0" w:after="0" w:line="420" w:lineRule="exact"/>
        <w:ind w:firstLine="562" w:firstLineChars="200"/>
        <w:rPr>
          <w:rFonts w:ascii="宋体" w:hAnsi="宋体" w:cs="宋体"/>
          <w:color w:val="auto"/>
          <w:sz w:val="28"/>
          <w:szCs w:val="28"/>
          <w:highlight w:val="none"/>
        </w:rPr>
      </w:pPr>
      <w:bookmarkStart w:id="100" w:name="_Toc120614220"/>
      <w:bookmarkStart w:id="101" w:name="_Toc16938552"/>
      <w:bookmarkStart w:id="102" w:name="_Toc513029236"/>
      <w:bookmarkStart w:id="103" w:name="_Toc20823308"/>
      <w:r>
        <w:rPr>
          <w:rFonts w:hint="eastAsia" w:ascii="宋体" w:hAnsi="宋体" w:cs="宋体"/>
          <w:color w:val="auto"/>
          <w:sz w:val="28"/>
          <w:szCs w:val="28"/>
          <w:highlight w:val="none"/>
        </w:rPr>
        <w:t>七、授予合同</w:t>
      </w:r>
      <w:bookmarkEnd w:id="100"/>
    </w:p>
    <w:bookmarkEnd w:id="101"/>
    <w:bookmarkEnd w:id="102"/>
    <w:bookmarkEnd w:id="103"/>
    <w:p>
      <w:pPr>
        <w:pStyle w:val="6"/>
        <w:adjustRightInd w:val="0"/>
        <w:snapToGrid w:val="0"/>
        <w:spacing w:line="420" w:lineRule="exact"/>
        <w:ind w:firstLine="560" w:firstLineChars="200"/>
        <w:jc w:val="both"/>
        <w:rPr>
          <w:rFonts w:ascii="宋体" w:hAnsi="宋体" w:eastAsia="宋体" w:cs="宋体"/>
          <w:b/>
          <w:color w:val="auto"/>
          <w:sz w:val="28"/>
          <w:szCs w:val="28"/>
          <w:highlight w:val="none"/>
        </w:rPr>
      </w:pPr>
      <w:bookmarkStart w:id="104" w:name="_Toc16938553"/>
      <w:bookmarkStart w:id="105" w:name="_Toc513029237"/>
      <w:bookmarkStart w:id="106" w:name="_Toc20823309"/>
      <w:r>
        <w:rPr>
          <w:rFonts w:hint="eastAsia" w:ascii="宋体" w:hAnsi="宋体" w:eastAsia="宋体" w:cs="宋体"/>
          <w:color w:val="auto"/>
          <w:sz w:val="28"/>
          <w:szCs w:val="28"/>
          <w:highlight w:val="none"/>
        </w:rPr>
        <w:t>1.签订合同</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bCs/>
          <w:color w:val="auto"/>
          <w:sz w:val="28"/>
          <w:szCs w:val="28"/>
          <w:highlight w:val="none"/>
        </w:rPr>
        <w:t>1</w:t>
      </w:r>
      <w:r>
        <w:rPr>
          <w:rFonts w:hint="eastAsia" w:ascii="宋体" w:hAnsi="宋体" w:cs="宋体"/>
          <w:color w:val="auto"/>
          <w:sz w:val="28"/>
          <w:szCs w:val="28"/>
          <w:highlight w:val="none"/>
        </w:rPr>
        <w:t>.l中标人应当在中标通知书发出之日起三十日内，按照招标文件确定的事项与招标人签订政府采购合同。</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1.2招标文件、中标人的投标文件及招标过程中有关澄清、承诺文件均应作为合同附件。</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1.3签订合同后，中标人不得将服务进行转包。未经招标人同意，中标人也不得采用分包的形式履行合同，否则招标人有权终止合同。政府采购合同分包履行的，中标、成交供应商就采购项目和分包项目向招标人负责，分包供应商就分包项目承担责任。转包或分包造成招标人损失的，中标人应承担相应赔偿责任。</w:t>
      </w:r>
    </w:p>
    <w:p>
      <w:pPr>
        <w:pStyle w:val="6"/>
        <w:adjustRightInd w:val="0"/>
        <w:snapToGrid w:val="0"/>
        <w:spacing w:line="420" w:lineRule="exact"/>
        <w:ind w:firstLine="560" w:firstLineChars="200"/>
        <w:jc w:val="both"/>
        <w:rPr>
          <w:rFonts w:ascii="宋体" w:hAnsi="宋体" w:eastAsia="宋体" w:cs="宋体"/>
          <w:b/>
          <w:color w:val="auto"/>
          <w:sz w:val="28"/>
          <w:szCs w:val="28"/>
          <w:highlight w:val="none"/>
        </w:rPr>
      </w:pPr>
      <w:r>
        <w:rPr>
          <w:rFonts w:hint="eastAsia" w:ascii="宋体" w:hAnsi="宋体" w:eastAsia="宋体" w:cs="宋体"/>
          <w:color w:val="auto"/>
          <w:sz w:val="28"/>
          <w:szCs w:val="28"/>
          <w:highlight w:val="none"/>
        </w:rPr>
        <w:t>2.服务的追加、减少和添购。</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2.1政府采购合同履行中，招标人需追加与合同标的相同的服务的，在不改变合同其他条款的前提下，可以与中标人协商签订补充合同，但所有补充合同的采购金额不超过原合同金额10%。</w:t>
      </w:r>
    </w:p>
    <w:p>
      <w:pPr>
        <w:adjustRightInd w:val="0"/>
        <w:snapToGrid w:val="0"/>
        <w:spacing w:line="420" w:lineRule="exact"/>
        <w:ind w:firstLine="560" w:firstLineChars="200"/>
        <w:rPr>
          <w:rFonts w:ascii="宋体" w:hAnsi="宋体" w:cs="宋体"/>
          <w:bCs/>
          <w:color w:val="auto"/>
          <w:sz w:val="36"/>
          <w:szCs w:val="36"/>
          <w:highlight w:val="none"/>
        </w:rPr>
      </w:pPr>
      <w:r>
        <w:rPr>
          <w:rFonts w:hint="eastAsia" w:ascii="宋体" w:hAnsi="宋体" w:cs="宋体"/>
          <w:color w:val="auto"/>
          <w:sz w:val="28"/>
          <w:szCs w:val="28"/>
          <w:highlight w:val="none"/>
        </w:rPr>
        <w:t>2.2采购结束后，招标人若由于各种客观原因，必须对采购项目所牵涉的服务进行适当的减少时，在双方协商一致的前提下，可以按照招标采购时的价格水平做相应的调减，并据此签订补充合同。</w:t>
      </w:r>
      <w:bookmarkEnd w:id="104"/>
      <w:bookmarkEnd w:id="105"/>
      <w:bookmarkEnd w:id="106"/>
    </w:p>
    <w:p>
      <w:pPr>
        <w:adjustRightInd w:val="0"/>
        <w:snapToGrid w:val="0"/>
        <w:spacing w:line="500" w:lineRule="exact"/>
        <w:jc w:val="center"/>
        <w:outlineLvl w:val="0"/>
        <w:rPr>
          <w:rFonts w:ascii="宋体" w:hAnsi="宋体" w:cs="宋体"/>
          <w:bCs/>
          <w:color w:val="auto"/>
          <w:sz w:val="36"/>
          <w:szCs w:val="36"/>
          <w:highlight w:val="none"/>
        </w:rPr>
      </w:pPr>
    </w:p>
    <w:p>
      <w:pPr>
        <w:spacing w:line="800" w:lineRule="exact"/>
        <w:ind w:firstLine="420"/>
        <w:jc w:val="center"/>
        <w:rPr>
          <w:rFonts w:ascii="宋体" w:hAnsi="宋体" w:cs="宋体"/>
          <w:bCs/>
          <w:color w:val="auto"/>
          <w:sz w:val="36"/>
          <w:szCs w:val="36"/>
          <w:highlight w:val="none"/>
        </w:rPr>
      </w:pPr>
      <w:r>
        <w:rPr>
          <w:rFonts w:hint="eastAsia" w:ascii="宋体" w:hAnsi="宋体" w:cs="宋体"/>
          <w:bCs/>
          <w:color w:val="auto"/>
          <w:sz w:val="36"/>
          <w:szCs w:val="36"/>
          <w:highlight w:val="none"/>
        </w:rPr>
        <w:br w:type="page"/>
      </w:r>
      <w:r>
        <w:rPr>
          <w:rFonts w:hint="eastAsia" w:ascii="宋体" w:hAnsi="宋体" w:cs="宋体"/>
          <w:b/>
          <w:color w:val="auto"/>
          <w:sz w:val="36"/>
          <w:szCs w:val="36"/>
          <w:highlight w:val="none"/>
        </w:rPr>
        <w:t>第三部分  项目需求</w:t>
      </w:r>
    </w:p>
    <w:p>
      <w:pPr>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投标人在制作投标文件时仔细研究项目需求说明。项目需求包括技术要求和商务要求:技术要求是指对采购标的功能和质量要求，包括性能、材料、结构、外观、安全，或者服务内容和标准等;商务要求是指取得采购标的的时间、地点、财务和服务要求，包括交付（实施）的时间（期限）和地点（范围），付款条件（进度和方法），包装和运输，售后服务，保险等。</w:t>
      </w:r>
    </w:p>
    <w:bookmarkEnd w:id="0"/>
    <w:bookmarkEnd w:id="1"/>
    <w:bookmarkEnd w:id="2"/>
    <w:p>
      <w:pPr>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请投标供应商在制作投标文件时仔细研究项目需求说明。投标供应商不能简单照搬照抄招标人项目需求说明中的技术、商务要求，必须作实事求是的响应。如照搬照抄项目需求说明中的技术、商务要求的，中标后成交供应商在同招标人签订合同环节中不得提出异议，一切后果和损失由成交供应商承担。如投标供应商提供的货物和服务同招标人提出的项目需求说明中的技术、商务要求不同的，必须在《技术响应及偏离表》和《商务条款响应及偏离表》上明示，如不明示的视同完全响应。</w:t>
      </w:r>
    </w:p>
    <w:p>
      <w:pPr>
        <w:spacing w:line="460" w:lineRule="exact"/>
        <w:ind w:firstLine="562" w:firstLineChars="200"/>
        <w:jc w:val="left"/>
        <w:rPr>
          <w:rFonts w:ascii="宋体" w:hAnsi="宋体" w:cs="宋体"/>
          <w:b/>
          <w:bCs/>
          <w:color w:val="auto"/>
          <w:sz w:val="28"/>
          <w:szCs w:val="28"/>
          <w:highlight w:val="none"/>
        </w:rPr>
      </w:pPr>
      <w:r>
        <w:rPr>
          <w:rFonts w:ascii="宋体" w:hAnsi="宋体" w:cs="宋体"/>
          <w:b/>
          <w:bCs/>
          <w:color w:val="auto"/>
          <w:sz w:val="28"/>
          <w:szCs w:val="28"/>
          <w:highlight w:val="none"/>
        </w:rPr>
        <w:t>一、</w:t>
      </w:r>
      <w:r>
        <w:rPr>
          <w:rFonts w:hint="eastAsia" w:ascii="宋体" w:hAnsi="宋体" w:cs="宋体"/>
          <w:b/>
          <w:bCs/>
          <w:color w:val="auto"/>
          <w:sz w:val="28"/>
          <w:szCs w:val="28"/>
          <w:highlight w:val="none"/>
        </w:rPr>
        <w:t>供货服务内容：</w:t>
      </w:r>
    </w:p>
    <w:p>
      <w:pPr>
        <w:widowControl/>
        <w:spacing w:line="46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为满足江苏航运职业技术学院轨道交通产教融合实训基地扶梯安全使用，招标人拟采购扶梯1台并要求提供设备、安装、扶梯外装饰（侧面采用玻璃）、质保及维保等相关技术支持与服务具体详见项目需求。</w:t>
      </w:r>
    </w:p>
    <w:p>
      <w:pPr>
        <w:widowControl/>
        <w:spacing w:line="460" w:lineRule="exact"/>
        <w:ind w:firstLine="562" w:firstLineChars="200"/>
        <w:jc w:val="left"/>
        <w:rPr>
          <w:rFonts w:ascii="宋体" w:hAnsi="宋体" w:cs="宋体"/>
          <w:b/>
          <w:bCs/>
          <w:color w:val="auto"/>
          <w:sz w:val="28"/>
          <w:szCs w:val="28"/>
          <w:highlight w:val="none"/>
        </w:rPr>
      </w:pPr>
      <w:r>
        <w:rPr>
          <w:rFonts w:ascii="宋体" w:hAnsi="宋体" w:cs="宋体"/>
          <w:b/>
          <w:bCs/>
          <w:color w:val="auto"/>
          <w:sz w:val="28"/>
          <w:szCs w:val="28"/>
          <w:highlight w:val="none"/>
        </w:rPr>
        <w:t>二、</w:t>
      </w:r>
      <w:r>
        <w:rPr>
          <w:rFonts w:hint="eastAsia" w:ascii="宋体" w:hAnsi="宋体" w:cs="宋体"/>
          <w:b/>
          <w:bCs/>
          <w:color w:val="auto"/>
          <w:sz w:val="28"/>
          <w:szCs w:val="28"/>
          <w:highlight w:val="none"/>
        </w:rPr>
        <w:t xml:space="preserve">总体说明及技术参数 </w:t>
      </w:r>
    </w:p>
    <w:p>
      <w:pPr>
        <w:widowControl/>
        <w:spacing w:line="460" w:lineRule="exact"/>
        <w:ind w:firstLine="562" w:firstLineChars="200"/>
        <w:jc w:val="left"/>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1.室内扶梯技术要求</w:t>
      </w:r>
    </w:p>
    <w:tbl>
      <w:tblPr>
        <w:tblStyle w:val="37"/>
        <w:tblW w:w="8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7"/>
        <w:gridCol w:w="5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37" w:type="dxa"/>
            <w:vAlign w:val="center"/>
          </w:tcPr>
          <w:p>
            <w:pPr>
              <w:pStyle w:val="19"/>
              <w:spacing w:line="460" w:lineRule="exact"/>
              <w:jc w:val="center"/>
              <w:rPr>
                <w:rFonts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名称</w:t>
            </w:r>
          </w:p>
        </w:tc>
        <w:tc>
          <w:tcPr>
            <w:tcW w:w="5222" w:type="dxa"/>
            <w:vAlign w:val="center"/>
          </w:tcPr>
          <w:p>
            <w:pPr>
              <w:pStyle w:val="19"/>
              <w:spacing w:line="460" w:lineRule="exact"/>
              <w:jc w:val="center"/>
              <w:rPr>
                <w:rFonts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技术规格参数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837" w:type="dxa"/>
            <w:vAlign w:val="center"/>
          </w:tcPr>
          <w:p>
            <w:pPr>
              <w:pStyle w:val="19"/>
              <w:spacing w:line="46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倾斜角度</w:t>
            </w:r>
          </w:p>
        </w:tc>
        <w:tc>
          <w:tcPr>
            <w:tcW w:w="5222" w:type="dxa"/>
            <w:vAlign w:val="center"/>
          </w:tcPr>
          <w:p>
            <w:pPr>
              <w:pStyle w:val="19"/>
              <w:spacing w:line="46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37" w:type="dxa"/>
            <w:vAlign w:val="center"/>
          </w:tcPr>
          <w:p>
            <w:pPr>
              <w:pStyle w:val="19"/>
              <w:spacing w:line="46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速度(m/s)</w:t>
            </w:r>
          </w:p>
        </w:tc>
        <w:tc>
          <w:tcPr>
            <w:tcW w:w="5222" w:type="dxa"/>
            <w:vAlign w:val="center"/>
          </w:tcPr>
          <w:p>
            <w:pPr>
              <w:pStyle w:val="19"/>
              <w:spacing w:line="460" w:lineRule="exact"/>
              <w:jc w:val="left"/>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0~0.65m/s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37" w:type="dxa"/>
            <w:vAlign w:val="center"/>
          </w:tcPr>
          <w:p>
            <w:pPr>
              <w:pStyle w:val="19"/>
              <w:spacing w:line="46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梯级宽度</w:t>
            </w:r>
          </w:p>
        </w:tc>
        <w:tc>
          <w:tcPr>
            <w:tcW w:w="5222" w:type="dxa"/>
            <w:vAlign w:val="center"/>
          </w:tcPr>
          <w:p>
            <w:pPr>
              <w:pStyle w:val="19"/>
              <w:spacing w:line="46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800毫米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37" w:type="dxa"/>
            <w:vAlign w:val="center"/>
          </w:tcPr>
          <w:p>
            <w:pPr>
              <w:pStyle w:val="19"/>
              <w:spacing w:line="46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提升高度</w:t>
            </w:r>
          </w:p>
        </w:tc>
        <w:tc>
          <w:tcPr>
            <w:tcW w:w="5222" w:type="dxa"/>
            <w:vAlign w:val="center"/>
          </w:tcPr>
          <w:p>
            <w:pPr>
              <w:pStyle w:val="19"/>
              <w:spacing w:line="46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6600毫米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837" w:type="dxa"/>
            <w:vAlign w:val="center"/>
          </w:tcPr>
          <w:p>
            <w:pPr>
              <w:pStyle w:val="19"/>
              <w:spacing w:line="46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水平梯级</w:t>
            </w:r>
          </w:p>
        </w:tc>
        <w:tc>
          <w:tcPr>
            <w:tcW w:w="5222" w:type="dxa"/>
            <w:vAlign w:val="center"/>
          </w:tcPr>
          <w:p>
            <w:pPr>
              <w:pStyle w:val="19"/>
              <w:spacing w:line="46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3/3水平梯级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37" w:type="dxa"/>
            <w:vAlign w:val="center"/>
          </w:tcPr>
          <w:p>
            <w:pPr>
              <w:pStyle w:val="19"/>
              <w:spacing w:line="460" w:lineRule="exact"/>
              <w:jc w:val="left"/>
              <w:rPr>
                <w:rFonts w:hint="default" w:ascii="宋体" w:hAnsi="宋体" w:eastAsia="宋体" w:cs="宋体"/>
                <w:color w:val="auto"/>
                <w:sz w:val="28"/>
                <w:szCs w:val="28"/>
                <w:highlight w:val="none"/>
                <w:lang w:val="en-US"/>
              </w:rPr>
            </w:pPr>
            <w:r>
              <w:rPr>
                <w:rFonts w:hint="eastAsia" w:ascii="宋体" w:hAnsi="宋体" w:eastAsia="宋体" w:cs="宋体"/>
                <w:color w:val="auto"/>
                <w:sz w:val="28"/>
                <w:szCs w:val="28"/>
                <w:highlight w:val="none"/>
                <w:lang w:val="en-US" w:eastAsia="zh-CN"/>
              </w:rPr>
              <w:t>6.预留接口</w:t>
            </w:r>
          </w:p>
        </w:tc>
        <w:tc>
          <w:tcPr>
            <w:tcW w:w="5222" w:type="dxa"/>
            <w:vAlign w:val="center"/>
          </w:tcPr>
          <w:p>
            <w:pPr>
              <w:pStyle w:val="19"/>
              <w:spacing w:line="460" w:lineRule="exact"/>
              <w:jc w:val="left"/>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预留综合监控通信接口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37" w:type="dxa"/>
            <w:vAlign w:val="center"/>
          </w:tcPr>
          <w:p>
            <w:pPr>
              <w:widowControl/>
              <w:spacing w:line="460" w:lineRule="exact"/>
              <w:jc w:val="left"/>
              <w:rPr>
                <w:rFonts w:ascii="宋体" w:hAnsi="宋体" w:cs="宋体"/>
                <w:color w:val="auto"/>
                <w:kern w:val="0"/>
                <w:sz w:val="28"/>
                <w:szCs w:val="28"/>
                <w:highlight w:val="none"/>
              </w:rPr>
            </w:pPr>
            <w:r>
              <w:rPr>
                <w:rFonts w:hint="eastAsia" w:ascii="宋体" w:hAnsi="宋体" w:cs="宋体"/>
                <w:color w:val="auto"/>
                <w:sz w:val="28"/>
                <w:szCs w:val="28"/>
                <w:highlight w:val="none"/>
                <w:lang w:val="en-US" w:eastAsia="zh-CN"/>
              </w:rPr>
              <w:t>7.</w:t>
            </w:r>
            <w:r>
              <w:rPr>
                <w:rFonts w:hint="eastAsia" w:ascii="宋体" w:hAnsi="宋体" w:cs="宋体"/>
                <w:color w:val="auto"/>
                <w:sz w:val="28"/>
                <w:szCs w:val="28"/>
                <w:highlight w:val="none"/>
              </w:rPr>
              <w:t>楼层板/梳齿板</w:t>
            </w:r>
          </w:p>
        </w:tc>
        <w:tc>
          <w:tcPr>
            <w:tcW w:w="5222" w:type="dxa"/>
            <w:vAlign w:val="center"/>
          </w:tcPr>
          <w:p>
            <w:pPr>
              <w:spacing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本色铝盖板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837"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sz w:val="28"/>
                <w:szCs w:val="28"/>
                <w:highlight w:val="none"/>
                <w:lang w:val="en-US" w:eastAsia="zh-CN"/>
              </w:rPr>
              <w:t>8.</w:t>
            </w:r>
            <w:r>
              <w:rPr>
                <w:rFonts w:hint="eastAsia" w:ascii="宋体" w:hAnsi="宋体" w:cs="宋体"/>
                <w:color w:val="auto"/>
                <w:sz w:val="28"/>
                <w:szCs w:val="28"/>
                <w:highlight w:val="none"/>
              </w:rPr>
              <w:t>梳齿</w:t>
            </w:r>
          </w:p>
        </w:tc>
        <w:tc>
          <w:tcPr>
            <w:tcW w:w="5222"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sz w:val="28"/>
                <w:szCs w:val="28"/>
                <w:highlight w:val="none"/>
              </w:rPr>
              <w:t>铝梳齿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37"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sz w:val="28"/>
                <w:szCs w:val="28"/>
                <w:highlight w:val="none"/>
                <w:lang w:val="en-US" w:eastAsia="zh-CN"/>
              </w:rPr>
              <w:t>9.</w:t>
            </w:r>
            <w:r>
              <w:rPr>
                <w:rFonts w:hint="eastAsia" w:ascii="宋体" w:hAnsi="宋体" w:cs="宋体"/>
                <w:color w:val="auto"/>
                <w:sz w:val="28"/>
                <w:szCs w:val="28"/>
                <w:highlight w:val="none"/>
              </w:rPr>
              <w:t>裙板</w:t>
            </w:r>
          </w:p>
        </w:tc>
        <w:tc>
          <w:tcPr>
            <w:tcW w:w="5222"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sz w:val="28"/>
                <w:szCs w:val="28"/>
                <w:highlight w:val="none"/>
              </w:rPr>
              <w:t>304不锈钢、整段带透明减摩擦涂层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2837"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sz w:val="28"/>
                <w:szCs w:val="28"/>
                <w:highlight w:val="none"/>
                <w:lang w:val="en-US" w:eastAsia="zh-CN"/>
              </w:rPr>
              <w:t>10.</w:t>
            </w:r>
            <w:r>
              <w:rPr>
                <w:rFonts w:hint="eastAsia" w:ascii="宋体" w:hAnsi="宋体" w:cs="宋体"/>
                <w:color w:val="auto"/>
                <w:sz w:val="28"/>
                <w:szCs w:val="28"/>
                <w:highlight w:val="none"/>
              </w:rPr>
              <w:t>梯级</w:t>
            </w:r>
          </w:p>
        </w:tc>
        <w:tc>
          <w:tcPr>
            <w:tcW w:w="5222"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sz w:val="28"/>
                <w:szCs w:val="28"/>
                <w:highlight w:val="none"/>
              </w:rPr>
              <w:t>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37"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sz w:val="28"/>
                <w:szCs w:val="28"/>
                <w:highlight w:val="none"/>
                <w:lang w:val="en-US" w:eastAsia="zh-CN"/>
              </w:rPr>
              <w:t>11.</w:t>
            </w:r>
            <w:r>
              <w:rPr>
                <w:rFonts w:hint="eastAsia" w:ascii="宋体" w:hAnsi="宋体" w:cs="宋体"/>
                <w:color w:val="auto"/>
                <w:sz w:val="28"/>
                <w:szCs w:val="28"/>
                <w:highlight w:val="none"/>
              </w:rPr>
              <w:t>梯级链导轨</w:t>
            </w:r>
          </w:p>
        </w:tc>
        <w:tc>
          <w:tcPr>
            <w:tcW w:w="5222"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sz w:val="28"/>
                <w:szCs w:val="28"/>
                <w:highlight w:val="none"/>
              </w:rPr>
              <w:t>2mm梯级链导轨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37"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sz w:val="28"/>
                <w:szCs w:val="28"/>
                <w:highlight w:val="none"/>
                <w:lang w:val="en-US" w:eastAsia="zh-CN"/>
              </w:rPr>
              <w:t>12.</w:t>
            </w:r>
            <w:r>
              <w:rPr>
                <w:rFonts w:hint="eastAsia" w:ascii="宋体" w:hAnsi="宋体" w:cs="宋体"/>
                <w:color w:val="auto"/>
                <w:sz w:val="28"/>
                <w:szCs w:val="28"/>
                <w:highlight w:val="none"/>
              </w:rPr>
              <w:t>内外盖板</w:t>
            </w:r>
          </w:p>
        </w:tc>
        <w:tc>
          <w:tcPr>
            <w:tcW w:w="5222"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sz w:val="28"/>
                <w:szCs w:val="28"/>
                <w:highlight w:val="none"/>
              </w:rPr>
              <w:t>304发纹不锈钢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37"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13.</w:t>
            </w:r>
            <w:r>
              <w:rPr>
                <w:rFonts w:hint="eastAsia" w:ascii="宋体" w:hAnsi="宋体" w:cs="宋体"/>
                <w:color w:val="auto"/>
                <w:kern w:val="0"/>
                <w:sz w:val="28"/>
                <w:szCs w:val="28"/>
                <w:highlight w:val="none"/>
              </w:rPr>
              <w:t>裙板刷</w:t>
            </w:r>
          </w:p>
        </w:tc>
        <w:tc>
          <w:tcPr>
            <w:tcW w:w="5222"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单排，铝底座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37"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sz w:val="28"/>
                <w:szCs w:val="28"/>
                <w:highlight w:val="none"/>
                <w:lang w:val="en-US" w:eastAsia="zh-CN"/>
              </w:rPr>
              <w:t>14.</w:t>
            </w:r>
            <w:r>
              <w:rPr>
                <w:rFonts w:hint="eastAsia" w:ascii="宋体" w:hAnsi="宋体" w:cs="宋体"/>
                <w:color w:val="auto"/>
                <w:sz w:val="28"/>
                <w:szCs w:val="28"/>
                <w:highlight w:val="none"/>
              </w:rPr>
              <w:t>扶手带</w:t>
            </w:r>
          </w:p>
        </w:tc>
        <w:tc>
          <w:tcPr>
            <w:tcW w:w="5222"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sz w:val="28"/>
                <w:szCs w:val="28"/>
                <w:highlight w:val="none"/>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37"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sz w:val="28"/>
                <w:szCs w:val="28"/>
                <w:highlight w:val="none"/>
                <w:lang w:val="en-US" w:eastAsia="zh-CN"/>
              </w:rPr>
              <w:t>15.</w:t>
            </w:r>
            <w:r>
              <w:rPr>
                <w:rFonts w:hint="eastAsia" w:ascii="宋体" w:hAnsi="宋体" w:cs="宋体"/>
                <w:color w:val="auto"/>
                <w:sz w:val="28"/>
                <w:szCs w:val="28"/>
                <w:highlight w:val="none"/>
              </w:rPr>
              <w:t>桁架</w:t>
            </w:r>
          </w:p>
        </w:tc>
        <w:tc>
          <w:tcPr>
            <w:tcW w:w="5222"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sz w:val="28"/>
                <w:szCs w:val="28"/>
                <w:highlight w:val="none"/>
              </w:rPr>
              <w:t>方管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37"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sz w:val="28"/>
                <w:szCs w:val="28"/>
                <w:highlight w:val="none"/>
                <w:lang w:val="en-US" w:eastAsia="zh-CN"/>
              </w:rPr>
              <w:t>16.</w:t>
            </w:r>
            <w:r>
              <w:rPr>
                <w:rFonts w:hint="eastAsia" w:ascii="宋体" w:hAnsi="宋体" w:cs="宋体"/>
                <w:color w:val="auto"/>
                <w:sz w:val="28"/>
                <w:szCs w:val="28"/>
                <w:highlight w:val="none"/>
              </w:rPr>
              <w:t>扶手护栏</w:t>
            </w:r>
          </w:p>
        </w:tc>
        <w:tc>
          <w:tcPr>
            <w:tcW w:w="5222"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sz w:val="28"/>
                <w:szCs w:val="28"/>
                <w:highlight w:val="none"/>
              </w:rPr>
              <w:t>10mm透明钢化玻璃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37" w:type="dxa"/>
            <w:vAlign w:val="center"/>
          </w:tcPr>
          <w:p>
            <w:pPr>
              <w:spacing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17.</w:t>
            </w:r>
            <w:r>
              <w:rPr>
                <w:rFonts w:hint="eastAsia" w:ascii="宋体" w:hAnsi="宋体" w:cs="宋体"/>
                <w:color w:val="auto"/>
                <w:sz w:val="28"/>
                <w:szCs w:val="28"/>
                <w:highlight w:val="none"/>
              </w:rPr>
              <w:t>桁架侧面装饰板</w:t>
            </w:r>
          </w:p>
        </w:tc>
        <w:tc>
          <w:tcPr>
            <w:tcW w:w="5222" w:type="dxa"/>
            <w:vAlign w:val="center"/>
          </w:tcPr>
          <w:p>
            <w:pPr>
              <w:spacing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透明玻璃（满足教学使用</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满足消防验收</w:t>
            </w:r>
            <w:r>
              <w:rPr>
                <w:rFonts w:hint="eastAsia" w:ascii="宋体" w:hAnsi="宋体" w:cs="宋体"/>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37"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18.</w:t>
            </w:r>
            <w:r>
              <w:rPr>
                <w:rFonts w:hint="eastAsia" w:ascii="宋体" w:hAnsi="宋体" w:cs="宋体"/>
                <w:color w:val="auto"/>
                <w:kern w:val="0"/>
                <w:sz w:val="28"/>
                <w:szCs w:val="28"/>
                <w:highlight w:val="none"/>
              </w:rPr>
              <w:t>运行模式</w:t>
            </w:r>
          </w:p>
        </w:tc>
        <w:tc>
          <w:tcPr>
            <w:tcW w:w="5222"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智能变频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37"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19.</w:t>
            </w:r>
            <w:r>
              <w:rPr>
                <w:rFonts w:ascii="宋体" w:hAnsi="宋体" w:cs="宋体"/>
                <w:color w:val="auto"/>
                <w:kern w:val="0"/>
                <w:sz w:val="28"/>
                <w:szCs w:val="28"/>
                <w:highlight w:val="none"/>
              </w:rPr>
              <w:t>电力供应</w:t>
            </w:r>
          </w:p>
        </w:tc>
        <w:tc>
          <w:tcPr>
            <w:tcW w:w="5222" w:type="dxa"/>
            <w:vAlign w:val="center"/>
          </w:tcPr>
          <w:p>
            <w:pPr>
              <w:spacing w:line="460" w:lineRule="exact"/>
              <w:jc w:val="left"/>
              <w:rPr>
                <w:rFonts w:ascii="宋体" w:hAnsi="宋体" w:cs="宋体"/>
                <w:color w:val="auto"/>
                <w:kern w:val="0"/>
                <w:sz w:val="28"/>
                <w:szCs w:val="28"/>
                <w:highlight w:val="none"/>
              </w:rPr>
            </w:pPr>
            <w:r>
              <w:rPr>
                <w:rFonts w:ascii="宋体" w:hAnsi="宋体" w:cs="宋体"/>
                <w:color w:val="auto"/>
                <w:kern w:val="0"/>
                <w:sz w:val="28"/>
                <w:szCs w:val="28"/>
                <w:highlight w:val="none"/>
              </w:rPr>
              <w:t>三相四线、TN-S接地，交流电压380 V±10%，50±1Hz</w:t>
            </w:r>
            <w:r>
              <w:rPr>
                <w:rFonts w:hint="eastAsia" w:ascii="宋体" w:hAnsi="宋体" w:cs="宋体"/>
                <w:color w:val="auto"/>
                <w:kern w:val="0"/>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37"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20.</w:t>
            </w:r>
            <w:r>
              <w:rPr>
                <w:rFonts w:hint="eastAsia" w:ascii="宋体" w:hAnsi="宋体" w:cs="宋体"/>
                <w:color w:val="auto"/>
                <w:kern w:val="0"/>
                <w:sz w:val="28"/>
                <w:szCs w:val="28"/>
                <w:highlight w:val="none"/>
              </w:rPr>
              <w:t>运行方向</w:t>
            </w:r>
          </w:p>
        </w:tc>
        <w:tc>
          <w:tcPr>
            <w:tcW w:w="5222" w:type="dxa"/>
            <w:vAlign w:val="center"/>
          </w:tcPr>
          <w:p>
            <w:pPr>
              <w:spacing w:line="460" w:lineRule="exact"/>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可逆</w:t>
            </w:r>
          </w:p>
        </w:tc>
      </w:tr>
    </w:tbl>
    <w:p>
      <w:pPr>
        <w:widowControl/>
        <w:spacing w:line="460" w:lineRule="exact"/>
        <w:ind w:firstLine="562" w:firstLineChars="200"/>
        <w:jc w:val="left"/>
        <w:rPr>
          <w:rFonts w:hint="eastAsia" w:ascii="宋体" w:hAnsi="宋体" w:eastAsia="宋体" w:cs="宋体"/>
          <w:b/>
          <w:bCs/>
          <w:color w:val="auto"/>
          <w:kern w:val="0"/>
          <w:sz w:val="28"/>
          <w:szCs w:val="28"/>
          <w:highlight w:val="none"/>
          <w:lang w:val="en-US" w:eastAsia="zh-CN"/>
        </w:rPr>
      </w:pPr>
      <w:r>
        <w:rPr>
          <w:rFonts w:hint="eastAsia" w:ascii="宋体" w:hAnsi="宋体" w:cs="宋体"/>
          <w:b/>
          <w:bCs/>
          <w:color w:val="auto"/>
          <w:kern w:val="0"/>
          <w:sz w:val="28"/>
          <w:szCs w:val="28"/>
          <w:highlight w:val="none"/>
        </w:rPr>
        <w:t>2.室内扶梯安全功能</w:t>
      </w:r>
      <w:r>
        <w:rPr>
          <w:rFonts w:hint="eastAsia" w:ascii="宋体" w:hAnsi="宋体" w:cs="宋体"/>
          <w:b/>
          <w:bCs/>
          <w:color w:val="auto"/>
          <w:kern w:val="0"/>
          <w:sz w:val="28"/>
          <w:szCs w:val="28"/>
          <w:highlight w:val="none"/>
          <w:lang w:eastAsia="zh-CN"/>
        </w:rPr>
        <w:t>要求</w:t>
      </w:r>
    </w:p>
    <w:tbl>
      <w:tblPr>
        <w:tblStyle w:val="37"/>
        <w:tblW w:w="8055"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rPr>
                <w:rFonts w:ascii="宋体" w:hAnsi="宋体" w:cs="宋体"/>
                <w:color w:val="auto"/>
                <w:sz w:val="28"/>
                <w:szCs w:val="28"/>
                <w:highlight w:val="none"/>
              </w:rPr>
            </w:pPr>
            <w:r>
              <w:rPr>
                <w:rFonts w:hint="eastAsia" w:ascii="宋体" w:hAnsi="宋体" w:cs="宋体"/>
                <w:color w:val="auto"/>
                <w:sz w:val="28"/>
                <w:szCs w:val="28"/>
                <w:highlight w:val="none"/>
              </w:rPr>
              <w:t>1.扶手带入口保护装置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rPr>
                <w:rFonts w:ascii="宋体" w:hAnsi="宋体" w:cs="宋体"/>
                <w:color w:val="auto"/>
                <w:sz w:val="28"/>
                <w:szCs w:val="28"/>
                <w:highlight w:val="none"/>
              </w:rPr>
            </w:pPr>
            <w:r>
              <w:rPr>
                <w:rFonts w:hint="eastAsia" w:ascii="宋体" w:hAnsi="宋体" w:cs="宋体"/>
                <w:color w:val="auto"/>
                <w:sz w:val="28"/>
                <w:szCs w:val="28"/>
                <w:highlight w:val="none"/>
              </w:rPr>
              <w:t>2.梳齿板保护开关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rPr>
                <w:rFonts w:ascii="宋体" w:hAnsi="宋体" w:cs="宋体"/>
                <w:color w:val="auto"/>
                <w:sz w:val="28"/>
                <w:szCs w:val="28"/>
                <w:highlight w:val="none"/>
              </w:rPr>
            </w:pPr>
            <w:r>
              <w:rPr>
                <w:rFonts w:hint="eastAsia" w:ascii="宋体" w:hAnsi="宋体" w:cs="宋体"/>
                <w:color w:val="auto"/>
                <w:sz w:val="28"/>
                <w:szCs w:val="28"/>
                <w:highlight w:val="none"/>
              </w:rPr>
              <w:t>3.低速侧梯路速度监测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rPr>
                <w:rFonts w:ascii="宋体" w:hAnsi="宋体" w:cs="宋体"/>
                <w:color w:val="auto"/>
                <w:sz w:val="28"/>
                <w:szCs w:val="28"/>
                <w:highlight w:val="none"/>
              </w:rPr>
            </w:pPr>
            <w:r>
              <w:rPr>
                <w:rFonts w:hint="eastAsia" w:ascii="宋体" w:hAnsi="宋体" w:cs="宋体"/>
                <w:color w:val="auto"/>
                <w:sz w:val="28"/>
                <w:szCs w:val="28"/>
                <w:highlight w:val="none"/>
              </w:rPr>
              <w:t>4.梯级链断链保护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rPr>
                <w:rFonts w:ascii="宋体" w:hAnsi="宋体" w:cs="宋体"/>
                <w:color w:val="auto"/>
                <w:sz w:val="28"/>
                <w:szCs w:val="28"/>
                <w:highlight w:val="none"/>
              </w:rPr>
            </w:pPr>
            <w:r>
              <w:rPr>
                <w:rFonts w:hint="eastAsia" w:ascii="宋体" w:hAnsi="宋体" w:cs="宋体"/>
                <w:color w:val="auto"/>
                <w:sz w:val="28"/>
                <w:szCs w:val="28"/>
                <w:highlight w:val="none"/>
              </w:rPr>
              <w:t>5.高速侧马达速度监测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rPr>
                <w:rFonts w:ascii="宋体" w:hAnsi="宋体" w:cs="宋体"/>
                <w:color w:val="auto"/>
                <w:sz w:val="28"/>
                <w:szCs w:val="28"/>
                <w:highlight w:val="none"/>
              </w:rPr>
            </w:pPr>
            <w:r>
              <w:rPr>
                <w:rFonts w:hint="eastAsia" w:ascii="宋体" w:hAnsi="宋体" w:cs="宋体"/>
                <w:color w:val="auto"/>
                <w:sz w:val="28"/>
                <w:szCs w:val="28"/>
                <w:highlight w:val="none"/>
              </w:rPr>
              <w:t>6.梯级塌陷保护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rPr>
                <w:rFonts w:ascii="宋体" w:hAnsi="宋体" w:cs="宋体"/>
                <w:color w:val="auto"/>
                <w:sz w:val="28"/>
                <w:szCs w:val="28"/>
                <w:highlight w:val="none"/>
              </w:rPr>
            </w:pPr>
            <w:r>
              <w:rPr>
                <w:rFonts w:hint="eastAsia" w:ascii="宋体" w:hAnsi="宋体" w:cs="宋体"/>
                <w:color w:val="auto"/>
                <w:sz w:val="28"/>
                <w:szCs w:val="28"/>
                <w:highlight w:val="none"/>
              </w:rPr>
              <w:t>7.电机过载、过热保护装置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rPr>
                <w:rFonts w:ascii="宋体" w:hAnsi="宋体" w:cs="宋体"/>
                <w:color w:val="auto"/>
                <w:sz w:val="28"/>
                <w:szCs w:val="28"/>
                <w:highlight w:val="none"/>
              </w:rPr>
            </w:pPr>
            <w:r>
              <w:rPr>
                <w:rFonts w:hint="eastAsia" w:ascii="宋体" w:hAnsi="宋体" w:cs="宋体"/>
                <w:color w:val="auto"/>
                <w:sz w:val="28"/>
                <w:szCs w:val="28"/>
                <w:highlight w:val="none"/>
              </w:rPr>
              <w:t>8.主电源隔离器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rPr>
                <w:rFonts w:ascii="宋体" w:hAnsi="宋体" w:cs="宋体"/>
                <w:color w:val="auto"/>
                <w:sz w:val="28"/>
                <w:szCs w:val="28"/>
                <w:highlight w:val="none"/>
              </w:rPr>
            </w:pPr>
            <w:r>
              <w:rPr>
                <w:rFonts w:hint="eastAsia" w:ascii="宋体" w:hAnsi="宋体" w:cs="宋体"/>
                <w:color w:val="auto"/>
                <w:sz w:val="28"/>
                <w:szCs w:val="28"/>
                <w:highlight w:val="none"/>
              </w:rPr>
              <w:t>9.主制动器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10.停机开关，位于上端和下端底坑内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11.扶手带速度及断带监测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12.楼层盖板安全开关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13.梯级反转保护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14.梯路锁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15.梯级缺失检测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16.制动器抬起监测开关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17.驱动链断链保护装置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18.控制回路断路器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19.错断相保护装置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20.急停开关，位于自动扶梯两端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21.手持检修灯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22.围裙板刷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055" w:type="dxa"/>
            <w:tcBorders>
              <w:tl2br w:val="nil"/>
              <w:tr2bl w:val="nil"/>
            </w:tcBorders>
            <w:noWrap/>
            <w:vAlign w:val="center"/>
          </w:tcPr>
          <w:p>
            <w:pPr>
              <w:spacing w:line="4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23.防静电装置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055" w:type="dxa"/>
            <w:tcBorders>
              <w:tl2br w:val="nil"/>
              <w:tr2bl w:val="nil"/>
            </w:tcBorders>
          </w:tcPr>
          <w:p>
            <w:pPr>
              <w:spacing w:line="460" w:lineRule="exact"/>
              <w:rPr>
                <w:rFonts w:ascii="宋体" w:hAnsi="宋体" w:cs="宋体"/>
                <w:color w:val="auto"/>
                <w:sz w:val="28"/>
                <w:szCs w:val="28"/>
                <w:highlight w:val="none"/>
              </w:rPr>
            </w:pPr>
            <w:r>
              <w:rPr>
                <w:rFonts w:hint="eastAsia" w:ascii="宋体" w:hAnsi="宋体" w:cs="宋体"/>
                <w:color w:val="auto"/>
                <w:sz w:val="28"/>
                <w:szCs w:val="28"/>
                <w:highlight w:val="none"/>
              </w:rPr>
              <w:t>24.相序监测 - 错断相监测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055" w:type="dxa"/>
            <w:tcBorders>
              <w:tl2br w:val="nil"/>
              <w:tr2bl w:val="nil"/>
            </w:tcBorders>
          </w:tcPr>
          <w:p>
            <w:pPr>
              <w:spacing w:line="460" w:lineRule="exact"/>
              <w:rPr>
                <w:rFonts w:ascii="宋体" w:hAnsi="宋体" w:cs="宋体"/>
                <w:color w:val="auto"/>
                <w:sz w:val="28"/>
                <w:szCs w:val="28"/>
                <w:highlight w:val="none"/>
              </w:rPr>
            </w:pPr>
            <w:r>
              <w:rPr>
                <w:rFonts w:hint="eastAsia" w:ascii="宋体" w:hAnsi="宋体" w:cs="宋体"/>
                <w:color w:val="auto"/>
                <w:sz w:val="28"/>
                <w:szCs w:val="28"/>
                <w:highlight w:val="none"/>
              </w:rPr>
              <w:t>25.扶手带速度/断带监控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055" w:type="dxa"/>
            <w:tcBorders>
              <w:tl2br w:val="nil"/>
              <w:tr2bl w:val="nil"/>
            </w:tcBorders>
          </w:tcPr>
          <w:p>
            <w:pPr>
              <w:spacing w:line="460" w:lineRule="exact"/>
              <w:rPr>
                <w:rFonts w:ascii="宋体" w:hAnsi="宋体" w:cs="宋体"/>
                <w:color w:val="auto"/>
                <w:sz w:val="28"/>
                <w:szCs w:val="28"/>
                <w:highlight w:val="none"/>
              </w:rPr>
            </w:pPr>
            <w:r>
              <w:rPr>
                <w:rFonts w:hint="eastAsia" w:ascii="宋体" w:hAnsi="宋体" w:cs="宋体"/>
                <w:color w:val="auto"/>
                <w:sz w:val="28"/>
                <w:szCs w:val="28"/>
                <w:highlight w:val="none"/>
              </w:rPr>
              <w:t>26.抱闸抬起监测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055" w:type="dxa"/>
            <w:tcBorders>
              <w:tl2br w:val="nil"/>
              <w:tr2bl w:val="nil"/>
            </w:tcBorders>
          </w:tcPr>
          <w:p>
            <w:pPr>
              <w:spacing w:line="460" w:lineRule="exact"/>
              <w:rPr>
                <w:rFonts w:ascii="宋体" w:hAnsi="宋体" w:cs="宋体"/>
                <w:color w:val="auto"/>
                <w:sz w:val="28"/>
                <w:szCs w:val="28"/>
                <w:highlight w:val="none"/>
              </w:rPr>
            </w:pPr>
            <w:r>
              <w:rPr>
                <w:rFonts w:hint="eastAsia" w:ascii="宋体" w:hAnsi="宋体" w:cs="宋体"/>
                <w:color w:val="auto"/>
                <w:sz w:val="28"/>
                <w:szCs w:val="28"/>
                <w:highlight w:val="none"/>
              </w:rPr>
              <w:t>27．防爬版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055" w:type="dxa"/>
            <w:tcBorders>
              <w:tl2br w:val="nil"/>
              <w:tr2bl w:val="nil"/>
            </w:tcBorders>
          </w:tcPr>
          <w:p>
            <w:pPr>
              <w:rPr>
                <w:rFonts w:ascii="宋体" w:hAnsi="宋体" w:cs="宋体"/>
                <w:color w:val="auto"/>
                <w:sz w:val="28"/>
                <w:szCs w:val="28"/>
                <w:highlight w:val="none"/>
              </w:rPr>
            </w:pPr>
            <w:r>
              <w:rPr>
                <w:rFonts w:hint="eastAsia" w:ascii="宋体" w:hAnsi="宋体" w:cs="宋体"/>
                <w:color w:val="auto"/>
                <w:sz w:val="28"/>
                <w:szCs w:val="28"/>
                <w:highlight w:val="none"/>
              </w:rPr>
              <w:t>28.</w:t>
            </w:r>
            <w:r>
              <w:rPr>
                <w:rFonts w:ascii="宋体" w:hAnsi="宋体" w:cs="宋体"/>
                <w:color w:val="auto"/>
                <w:sz w:val="28"/>
                <w:szCs w:val="28"/>
                <w:highlight w:val="none"/>
              </w:rPr>
              <w:t>扶手带阻燃等级</w:t>
            </w:r>
            <w:r>
              <w:rPr>
                <w:rFonts w:hint="eastAsia" w:ascii="宋体" w:hAnsi="宋体" w:cs="宋体"/>
                <w:color w:val="auto"/>
                <w:sz w:val="28"/>
                <w:szCs w:val="28"/>
                <w:highlight w:val="none"/>
              </w:rPr>
              <w:t>不低于</w:t>
            </w:r>
            <w:r>
              <w:rPr>
                <w:rFonts w:ascii="宋体" w:hAnsi="宋体" w:cs="宋体"/>
                <w:color w:val="auto"/>
                <w:sz w:val="28"/>
                <w:szCs w:val="28"/>
                <w:highlight w:val="none"/>
              </w:rPr>
              <w:t>FV-1（提供国家认可的检测机构出具的第三方测试报告，采用垂直燃烧法进行试验）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055" w:type="dxa"/>
            <w:tcBorders>
              <w:tl2br w:val="nil"/>
              <w:tr2bl w:val="nil"/>
            </w:tcBorders>
          </w:tcPr>
          <w:p>
            <w:pPr>
              <w:rPr>
                <w:rFonts w:ascii="宋体" w:hAnsi="宋体" w:cs="宋体"/>
                <w:color w:val="auto"/>
                <w:sz w:val="28"/>
                <w:szCs w:val="28"/>
                <w:highlight w:val="none"/>
              </w:rPr>
            </w:pPr>
            <w:r>
              <w:rPr>
                <w:rFonts w:hint="eastAsia" w:ascii="宋体" w:hAnsi="宋体" w:cs="宋体"/>
                <w:color w:val="auto"/>
                <w:sz w:val="28"/>
                <w:szCs w:val="28"/>
                <w:highlight w:val="none"/>
              </w:rPr>
              <w:t>29.</w:t>
            </w:r>
            <w:r>
              <w:rPr>
                <w:rFonts w:ascii="宋体" w:hAnsi="宋体" w:cs="宋体"/>
                <w:color w:val="auto"/>
                <w:sz w:val="28"/>
                <w:szCs w:val="28"/>
                <w:highlight w:val="none"/>
              </w:rPr>
              <w:t>梯级运行安全装置</w:t>
            </w:r>
            <w:r>
              <w:rPr>
                <w:rFonts w:hint="eastAsia" w:ascii="宋体" w:hAnsi="宋体" w:cs="宋体"/>
                <w:color w:val="auto"/>
                <w:sz w:val="28"/>
                <w:szCs w:val="28"/>
                <w:highlight w:val="none"/>
              </w:rPr>
              <w:t>：</w:t>
            </w:r>
            <w:r>
              <w:rPr>
                <w:rFonts w:ascii="宋体" w:hAnsi="宋体" w:cs="宋体"/>
                <w:color w:val="auto"/>
                <w:sz w:val="28"/>
                <w:szCs w:val="28"/>
                <w:highlight w:val="none"/>
              </w:rPr>
              <w:t>两个梯级之间卡入异物，梯级滚轮运行轨迹异常时，梯级运行安全装置使扶梯停止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055" w:type="dxa"/>
            <w:tcBorders>
              <w:tl2br w:val="nil"/>
              <w:tr2bl w:val="nil"/>
            </w:tcBorders>
          </w:tcPr>
          <w:p>
            <w:pPr>
              <w:rPr>
                <w:rFonts w:ascii="宋体" w:hAnsi="宋体" w:cs="宋体"/>
                <w:color w:val="auto"/>
                <w:sz w:val="28"/>
                <w:szCs w:val="28"/>
                <w:highlight w:val="none"/>
              </w:rPr>
            </w:pPr>
            <w:r>
              <w:rPr>
                <w:rFonts w:hint="eastAsia" w:ascii="宋体" w:hAnsi="宋体" w:cs="宋体"/>
                <w:color w:val="auto"/>
                <w:sz w:val="28"/>
                <w:szCs w:val="28"/>
                <w:highlight w:val="none"/>
              </w:rPr>
              <w:t>30.</w:t>
            </w:r>
            <w:r>
              <w:rPr>
                <w:rFonts w:ascii="宋体" w:hAnsi="宋体" w:cs="宋体"/>
                <w:color w:val="auto"/>
                <w:sz w:val="28"/>
                <w:szCs w:val="28"/>
                <w:highlight w:val="none"/>
              </w:rPr>
              <w:t>接地故障保护</w:t>
            </w:r>
            <w:r>
              <w:rPr>
                <w:rFonts w:hint="eastAsia" w:ascii="宋体" w:hAnsi="宋体" w:cs="宋体"/>
                <w:color w:val="auto"/>
                <w:sz w:val="28"/>
                <w:szCs w:val="28"/>
                <w:highlight w:val="none"/>
              </w:rPr>
              <w:t>：</w:t>
            </w:r>
            <w:r>
              <w:rPr>
                <w:rFonts w:ascii="宋体" w:hAnsi="宋体" w:cs="宋体"/>
                <w:color w:val="auto"/>
                <w:sz w:val="28"/>
                <w:szCs w:val="28"/>
                <w:highlight w:val="none"/>
              </w:rPr>
              <w:t>当扶梯接地出现故障时，使扶梯停止</w:t>
            </w:r>
          </w:p>
        </w:tc>
      </w:tr>
    </w:tbl>
    <w:p>
      <w:pPr>
        <w:widowControl/>
        <w:spacing w:line="460" w:lineRule="exact"/>
        <w:ind w:firstLine="562" w:firstLineChars="200"/>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三、★检验考核要求</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1.招标人和相关部门按照国家规定标准验收，没有国家标准的按行业标准验收，无行业标准的按地方或企业标准验收，中标人予以配合。涉及安全、消防、环保等其他需要由质检或行业主管部门验收的项目，招标人须约请相关部门和专家参加项目验收。 </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2.货物在验收时，投标人应提供发票、制造厂家出具的产品合格证书、装箱清单等, 涉及进口的产品、部件、配件等须提供中国海关进口货物报关单、完税证明及商检证明等材料；提供有关货物的操作规程和使用说明书，维护手册、保养修理所需的各种随机工具及相关设计、制造、检验、安装、技术性指导等文件和应由投标人提供的必要文件。</w:t>
      </w:r>
    </w:p>
    <w:p>
      <w:pPr>
        <w:spacing w:line="46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四、</w:t>
      </w:r>
      <w:r>
        <w:rPr>
          <w:rFonts w:hint="eastAsia" w:ascii="宋体" w:hAnsi="宋体" w:cs="宋体"/>
          <w:color w:val="auto"/>
          <w:sz w:val="28"/>
          <w:szCs w:val="28"/>
          <w:highlight w:val="none"/>
          <w:lang w:val="zh-CN"/>
        </w:rPr>
        <w:t>★</w:t>
      </w:r>
      <w:r>
        <w:rPr>
          <w:rFonts w:hint="eastAsia" w:ascii="宋体" w:hAnsi="宋体" w:cs="宋体"/>
          <w:b/>
          <w:bCs/>
          <w:color w:val="auto"/>
          <w:sz w:val="28"/>
          <w:szCs w:val="28"/>
          <w:highlight w:val="none"/>
        </w:rPr>
        <w:t>技术服务和质保期服务要求</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1.技术服务 </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（1）技术文件 </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中标人提供的技术文件与其提供的设备（硬件和软件）相一致。 </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（2）设备配置及供货范围 </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中标人向招标人提供本系统所需的相关设备（硬件及软件）及技术支持、服务。以及中标人认为本项目必需的其它软、硬件设备。 </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（3）人员培训 </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要求中标人对招标人（使用方）技术人员不少于1次的的全面技术培训，培训内容应包括：中标人所提供设备系统的性能、技术原理、操作使用方法，维护管理。中标人对使用方人员的培训，应使使用方人员可以独立操作、维护、管理，从而使使用方人员能独立进行管理、故障处理、日常测试维护等工作，确保系统能正常安全运行。中标人应提出培训内容和计划。 </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（4）保修期服务 </w:t>
      </w:r>
    </w:p>
    <w:p>
      <w:pPr>
        <w:spacing w:line="46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中标人应确保其技术建议以及所提供的软、硬件设备的完整性、实用性，保证全部系统及时投入正常运行。如果设备在保修期内发生软、硬件故障，中标人应在收到买方通知后2小时内做出响应，如需中标人到合同设备现场，中标人应在收到买方通知后12小时内到达，并在到达后12小时内解决合同设备的故障（重大故障除外）。如果中标人未在上述时间内作出响应，则招标人（使用方）有权自行或委托他人解决相关问题或查找和解决合同设备的故障，中标人应承担由此发生的全部费用。保修期内出现故障，如不能解决问题，应免费在七天内用同样的品牌、规格或更高的部件更换到位，并确保正常运行。保修期内，中标人对其提供的设备进行维修或更换，不收取额外费用。质保期满后，如设备、材料出现质量问题时，仍应按上述时限及时处理，需更换零部件，招标人（使用方）向中标人购买时，中标人除及时提供合格的产品外，价格上给予优惠。</w:t>
      </w:r>
    </w:p>
    <w:p>
      <w:pPr>
        <w:spacing w:line="460" w:lineRule="exact"/>
        <w:ind w:firstLine="560" w:firstLineChars="200"/>
        <w:rPr>
          <w:rFonts w:hint="eastAsia" w:ascii="宋体" w:hAnsi="宋体" w:cs="宋体"/>
          <w:color w:val="auto"/>
          <w:sz w:val="28"/>
          <w:szCs w:val="28"/>
          <w:highlight w:val="none"/>
          <w:lang w:val="en-US" w:eastAsia="zh-CN"/>
        </w:rPr>
      </w:pPr>
    </w:p>
    <w:p>
      <w:pPr>
        <w:spacing w:line="460" w:lineRule="exact"/>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项目质保期内需提供整机维保及免费更换配件服务。</w:t>
      </w:r>
    </w:p>
    <w:p>
      <w:pPr>
        <w:spacing w:line="460" w:lineRule="exact"/>
        <w:ind w:firstLine="560" w:firstLineChars="200"/>
        <w:rPr>
          <w:rFonts w:hint="default" w:ascii="宋体" w:hAnsi="宋体" w:cs="宋体"/>
          <w:color w:val="auto"/>
          <w:sz w:val="28"/>
          <w:szCs w:val="28"/>
          <w:highlight w:val="none"/>
          <w:lang w:val="en-US" w:eastAsia="zh-CN"/>
        </w:rPr>
      </w:pPr>
      <w:r>
        <w:rPr>
          <w:rFonts w:hint="default" w:ascii="宋体" w:hAnsi="宋体" w:cs="宋体"/>
          <w:color w:val="auto"/>
          <w:sz w:val="28"/>
          <w:szCs w:val="28"/>
          <w:highlight w:val="none"/>
          <w:lang w:val="en-US" w:eastAsia="zh-CN"/>
        </w:rPr>
        <w:t>定期检查：按照规定的间隔和时间，对电梯进行全面的机械、电气和安全装置的检查，以查出潜在故障并及时处理，确保电梯处于良好状态。</w:t>
      </w:r>
    </w:p>
    <w:p>
      <w:pPr>
        <w:spacing w:line="460" w:lineRule="exact"/>
        <w:ind w:firstLine="560" w:firstLineChars="200"/>
        <w:rPr>
          <w:rFonts w:hint="default" w:ascii="宋体" w:hAnsi="宋体" w:cs="宋体"/>
          <w:color w:val="auto"/>
          <w:sz w:val="28"/>
          <w:szCs w:val="28"/>
          <w:highlight w:val="none"/>
          <w:lang w:val="en-US" w:eastAsia="zh-CN"/>
        </w:rPr>
      </w:pPr>
      <w:r>
        <w:rPr>
          <w:rFonts w:hint="default" w:ascii="宋体" w:hAnsi="宋体" w:cs="宋体"/>
          <w:color w:val="auto"/>
          <w:sz w:val="28"/>
          <w:szCs w:val="28"/>
          <w:highlight w:val="none"/>
          <w:lang w:val="en-US" w:eastAsia="zh-CN"/>
        </w:rPr>
        <w:t>定期保养：根据制造商推荐的标准周期，进行润滑、清洁、调试等日常保养工作，如检查钢丝绳磨损情况、调整制动器等，以保障电梯的正常运转和使用寿命。</w:t>
      </w:r>
    </w:p>
    <w:p>
      <w:pPr>
        <w:spacing w:line="460" w:lineRule="exact"/>
        <w:ind w:firstLine="560" w:firstLineChars="200"/>
        <w:rPr>
          <w:rFonts w:hint="default" w:ascii="宋体" w:hAnsi="宋体" w:cs="宋体"/>
          <w:color w:val="auto"/>
          <w:sz w:val="28"/>
          <w:szCs w:val="28"/>
          <w:highlight w:val="none"/>
          <w:lang w:val="en-US" w:eastAsia="zh-CN"/>
        </w:rPr>
      </w:pPr>
      <w:r>
        <w:rPr>
          <w:rFonts w:hint="default" w:ascii="宋体" w:hAnsi="宋体" w:cs="宋体"/>
          <w:color w:val="auto"/>
          <w:sz w:val="28"/>
          <w:szCs w:val="28"/>
          <w:highlight w:val="none"/>
          <w:lang w:val="en-US" w:eastAsia="zh-CN"/>
        </w:rPr>
        <w:t>定期检测：按照国家标准的要求，定期对电梯进行安全和技术性能检测，并向政府相关部门提供检测报告，作为维保工作的记录和证明。</w:t>
      </w:r>
    </w:p>
    <w:p>
      <w:pPr>
        <w:spacing w:line="460" w:lineRule="exact"/>
        <w:ind w:firstLine="560" w:firstLineChars="200"/>
        <w:rPr>
          <w:rFonts w:hint="default" w:ascii="宋体" w:hAnsi="宋体" w:cs="宋体"/>
          <w:color w:val="auto"/>
          <w:sz w:val="28"/>
          <w:szCs w:val="28"/>
          <w:highlight w:val="none"/>
          <w:lang w:val="en-US" w:eastAsia="zh-CN"/>
        </w:rPr>
      </w:pPr>
      <w:r>
        <w:rPr>
          <w:rFonts w:hint="default" w:ascii="宋体" w:hAnsi="宋体" w:cs="宋体"/>
          <w:color w:val="auto"/>
          <w:sz w:val="28"/>
          <w:szCs w:val="28"/>
          <w:highlight w:val="none"/>
          <w:lang w:val="en-US" w:eastAsia="zh-CN"/>
        </w:rPr>
        <w:t>故障排除：当电梯出现故障时，维保人员应在第一时间内赶到现场，进行故障诊断和修复工作，以尽快恢复正常运行状态。</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（5）服务响应及维修 </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中标人应对所提供的软硬件系统提供满意的热线服务，及时解决所发生的问题。中标人接到保修请求，维修在 2 小时内响应，12 小时内维修人员到达现场。如发生紧急故障，在得到用户通知后，中标人应立即响应，6 小时内到达现场。 </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 xml:space="preserve">2、交货期、质保期及其他 </w:t>
      </w:r>
    </w:p>
    <w:p>
      <w:pPr>
        <w:spacing w:line="460" w:lineRule="exact"/>
        <w:ind w:firstLine="560" w:firstLineChars="200"/>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t>（1）工期：合同签订之日起120天内完成设备的供货、安装与调试，验收合格并交付使用</w:t>
      </w:r>
      <w:r>
        <w:rPr>
          <w:rFonts w:hint="eastAsia" w:ascii="宋体" w:hAnsi="宋体" w:cs="宋体"/>
          <w:color w:val="auto"/>
          <w:sz w:val="28"/>
          <w:szCs w:val="28"/>
          <w:highlight w:val="none"/>
          <w:lang w:eastAsia="zh-CN"/>
        </w:rPr>
        <w:t>。</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（2）质保期：</w:t>
      </w:r>
      <w:r>
        <w:rPr>
          <w:rFonts w:hint="eastAsia" w:ascii="宋体" w:hAnsi="宋体" w:cs="宋体"/>
          <w:color w:val="auto"/>
          <w:sz w:val="28"/>
          <w:szCs w:val="28"/>
          <w:highlight w:val="none"/>
          <w:lang w:eastAsia="zh-CN"/>
        </w:rPr>
        <w:t>三</w:t>
      </w:r>
      <w:r>
        <w:rPr>
          <w:rFonts w:hint="eastAsia" w:ascii="宋体" w:hAnsi="宋体" w:cs="宋体"/>
          <w:color w:val="auto"/>
          <w:sz w:val="28"/>
          <w:szCs w:val="28"/>
          <w:highlight w:val="none"/>
        </w:rPr>
        <w:t>年；项目整体维保要求：验收合格后不少于</w:t>
      </w:r>
      <w:r>
        <w:rPr>
          <w:rFonts w:hint="eastAsia" w:ascii="宋体" w:hAnsi="宋体" w:cs="宋体"/>
          <w:color w:val="auto"/>
          <w:sz w:val="28"/>
          <w:szCs w:val="28"/>
          <w:highlight w:val="none"/>
          <w:lang w:eastAsia="zh-CN"/>
        </w:rPr>
        <w:t>三</w:t>
      </w:r>
      <w:r>
        <w:rPr>
          <w:rFonts w:hint="eastAsia" w:ascii="宋体" w:hAnsi="宋体" w:cs="宋体"/>
          <w:color w:val="auto"/>
          <w:sz w:val="28"/>
          <w:szCs w:val="28"/>
          <w:highlight w:val="none"/>
        </w:rPr>
        <w:t xml:space="preserve">年。 </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（3）实施地点：招标人指定地点。</w:t>
      </w:r>
    </w:p>
    <w:p>
      <w:pPr>
        <w:spacing w:line="460" w:lineRule="exact"/>
        <w:ind w:firstLine="560" w:firstLineChars="200"/>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3、成交供应商如为代理商的，中标后签订合同前需提供电梯生产厂商盖章的品牌授权证明，不能提供的，采购人有权拒签合同。</w:t>
      </w:r>
    </w:p>
    <w:p>
      <w:pPr>
        <w:spacing w:line="460" w:lineRule="exact"/>
        <w:ind w:firstLine="560" w:firstLineChars="2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4、成交供应商中标后签订合同前需提供电梯“受力设计核算证明”，若无法提供或电梯承重无法达到国家安全技术标准，采购人有权拒签合同。</w:t>
      </w:r>
    </w:p>
    <w:p>
      <w:pPr>
        <w:spacing w:line="46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五、付款方式</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1、乙方中标后在合同签订前，应提供合同总价</w:t>
      </w:r>
      <w:r>
        <w:rPr>
          <w:rFonts w:hint="eastAsia" w:ascii="宋体" w:hAnsi="宋体" w:cs="宋体"/>
          <w:color w:val="auto"/>
          <w:sz w:val="28"/>
          <w:szCs w:val="28"/>
          <w:highlight w:val="none"/>
          <w:lang w:val="en-US" w:eastAsia="zh-CN"/>
        </w:rPr>
        <w:t>10</w:t>
      </w:r>
      <w:r>
        <w:rPr>
          <w:rFonts w:hint="eastAsia" w:ascii="宋体" w:hAnsi="宋体" w:cs="宋体"/>
          <w:color w:val="auto"/>
          <w:sz w:val="28"/>
          <w:szCs w:val="28"/>
          <w:highlight w:val="none"/>
        </w:rPr>
        <w:t>%的履约保证金，按甲方要求汇至指定账户（开户行：中国建设银行南通经济技术开发区支行，帐号： 32001642336052515609，统一社会信用代码：123200004660042577），履约保证金在项目最终验收合格满1年，无息退还乙方合同总价</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rPr>
        <w:t>%的履约保证金，满</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t>年且无质量问题后一次性（无息）退还乙方合同总价</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rPr>
        <w:t>%的履约保证金。</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2、在签订合同后，甲方支付乙方预付款为合同总价的</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t>0%；按要求将货物（设备）送到指定交货地点，货到施工现场，甲方支付合同总价的</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rPr>
        <w:t>0%；货物（设备）安装调试结束后，完成当地质量技术监督部门验收合格，甲方组织对设备（系统）进行最终验收，项目最终验收合格后（以甲方签发终验收合格证书为准），甲方向乙方支付合同总价的</w:t>
      </w: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rPr>
        <w:t>0%。</w:t>
      </w:r>
    </w:p>
    <w:p>
      <w:pPr>
        <w:spacing w:line="460" w:lineRule="exact"/>
        <w:ind w:firstLine="560" w:firstLineChars="200"/>
        <w:rPr>
          <w:rFonts w:ascii="宋体" w:hAnsi="宋体" w:cs="仿宋"/>
          <w:color w:val="auto"/>
          <w:sz w:val="24"/>
          <w:highlight w:val="none"/>
        </w:rPr>
      </w:pPr>
      <w:r>
        <w:rPr>
          <w:rFonts w:hint="eastAsia" w:ascii="宋体" w:hAnsi="宋体" w:cs="宋体"/>
          <w:color w:val="auto"/>
          <w:sz w:val="28"/>
          <w:szCs w:val="28"/>
          <w:highlight w:val="none"/>
        </w:rPr>
        <w:t>3、每次付款前乙方须提供付合甲方财务要求的正式增值税专用发票，否则甲方有权拒绝支付合同款，而不承担违约责任。</w:t>
      </w:r>
      <w:r>
        <w:rPr>
          <w:rFonts w:hint="eastAsia" w:ascii="宋体" w:hAnsi="宋体" w:cs="仿宋"/>
          <w:color w:val="auto"/>
          <w:sz w:val="24"/>
          <w:highlight w:val="none"/>
        </w:rPr>
        <w:t xml:space="preserve"> </w:t>
      </w:r>
    </w:p>
    <w:p>
      <w:pPr>
        <w:spacing w:line="460" w:lineRule="exact"/>
        <w:ind w:firstLine="562" w:firstLineChars="200"/>
        <w:rPr>
          <w:rFonts w:ascii="宋体" w:hAnsi="宋体" w:cs="宋体"/>
          <w:b/>
          <w:bCs/>
          <w:color w:val="auto"/>
          <w:sz w:val="28"/>
          <w:szCs w:val="28"/>
          <w:highlight w:val="none"/>
        </w:rPr>
      </w:pPr>
      <w:r>
        <w:rPr>
          <w:rFonts w:hint="eastAsia" w:ascii="宋体" w:hAnsi="宋体" w:cs="宋体"/>
          <w:b/>
          <w:bCs/>
          <w:color w:val="auto"/>
          <w:sz w:val="28"/>
          <w:szCs w:val="28"/>
          <w:highlight w:val="none"/>
        </w:rPr>
        <w:t>六、项目涉及到的现场勘察</w:t>
      </w:r>
    </w:p>
    <w:p>
      <w:pPr>
        <w:spacing w:line="460" w:lineRule="exact"/>
        <w:ind w:firstLine="562" w:firstLineChars="200"/>
        <w:rPr>
          <w:rFonts w:hint="default"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rPr>
        <w:t>1.</w:t>
      </w:r>
      <w:r>
        <w:rPr>
          <w:rFonts w:hint="eastAsia" w:ascii="宋体" w:hAnsi="宋体" w:cs="宋体"/>
          <w:b/>
          <w:bCs/>
          <w:color w:val="auto"/>
          <w:sz w:val="28"/>
          <w:szCs w:val="28"/>
          <w:highlight w:val="none"/>
          <w:lang w:eastAsia="zh-CN"/>
        </w:rPr>
        <w:t>本项目吊装现场正门已经做了不锈钢包边，高度不满足吊装要求，需从南</w:t>
      </w:r>
      <w:r>
        <w:rPr>
          <w:rFonts w:hint="eastAsia" w:ascii="宋体" w:hAnsi="宋体" w:cs="宋体"/>
          <w:b/>
          <w:bCs/>
          <w:color w:val="auto"/>
          <w:sz w:val="28"/>
          <w:szCs w:val="28"/>
          <w:highlight w:val="none"/>
          <w:lang w:val="en-US" w:eastAsia="zh-CN"/>
        </w:rPr>
        <w:t>侧</w:t>
      </w:r>
      <w:r>
        <w:rPr>
          <w:rFonts w:hint="eastAsia" w:ascii="宋体" w:hAnsi="宋体" w:cs="宋体"/>
          <w:b/>
          <w:bCs/>
          <w:color w:val="auto"/>
          <w:sz w:val="28"/>
          <w:szCs w:val="28"/>
          <w:highlight w:val="none"/>
          <w:lang w:eastAsia="zh-CN"/>
        </w:rPr>
        <w:t>进入，</w:t>
      </w:r>
      <w:r>
        <w:rPr>
          <w:rFonts w:hint="eastAsia" w:ascii="宋体" w:hAnsi="宋体" w:cs="宋体"/>
          <w:b/>
          <w:bCs/>
          <w:color w:val="auto"/>
          <w:sz w:val="28"/>
          <w:szCs w:val="28"/>
          <w:highlight w:val="none"/>
          <w:lang w:val="en-US" w:eastAsia="zh-CN"/>
        </w:rPr>
        <w:t>南侧有一个约42米长、3米宽、1.5米深的坑，</w:t>
      </w:r>
      <w:r>
        <w:rPr>
          <w:rFonts w:hint="eastAsia" w:ascii="宋体" w:hAnsi="宋体" w:cs="宋体"/>
          <w:b/>
          <w:bCs/>
          <w:color w:val="auto"/>
          <w:sz w:val="28"/>
          <w:szCs w:val="28"/>
          <w:highlight w:val="none"/>
          <w:lang w:eastAsia="zh-CN"/>
        </w:rPr>
        <w:t>建议供应商</w:t>
      </w:r>
      <w:r>
        <w:rPr>
          <w:rFonts w:hint="eastAsia" w:ascii="宋体" w:hAnsi="宋体" w:cs="宋体"/>
          <w:b/>
          <w:bCs/>
          <w:color w:val="auto"/>
          <w:sz w:val="28"/>
          <w:szCs w:val="28"/>
          <w:highlight w:val="none"/>
          <w:lang w:val="en-US" w:eastAsia="zh-CN"/>
        </w:rPr>
        <w:t>自行勘察现场</w:t>
      </w:r>
      <w:r>
        <w:rPr>
          <w:rFonts w:hint="eastAsia" w:ascii="宋体" w:hAnsi="宋体" w:cs="宋体"/>
          <w:b/>
          <w:bCs/>
          <w:color w:val="auto"/>
          <w:sz w:val="28"/>
          <w:szCs w:val="28"/>
          <w:highlight w:val="none"/>
          <w:lang w:eastAsia="zh-CN"/>
        </w:rPr>
        <w:t>并结合现场实际情况编制吊装方案。</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rPr>
        <w:t>招标文件所提供的项目相关数据仅做参考，根据自身需要，</w:t>
      </w:r>
      <w:r>
        <w:rPr>
          <w:rFonts w:hint="eastAsia" w:ascii="宋体" w:hAnsi="宋体" w:cs="宋体"/>
          <w:color w:val="auto"/>
          <w:sz w:val="28"/>
          <w:szCs w:val="28"/>
          <w:highlight w:val="none"/>
        </w:rPr>
        <w:t>供应商应招标文件递交之日前对有关现场和周围环境进行勘察，以获取编制响应文件和签署合同所需的信息。勘察现场所发生的费用由供应商自己承担。</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t>.招标人向供应商提供的有关现场的资料和数据，是招标人现有的并认为能使供应商可利用的资料。招标人对供应商由此而做出的推论、理解和结论概不负责。</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4</w:t>
      </w:r>
      <w:r>
        <w:rPr>
          <w:rFonts w:hint="eastAsia" w:ascii="宋体" w:hAnsi="宋体" w:cs="宋体"/>
          <w:color w:val="auto"/>
          <w:sz w:val="28"/>
          <w:szCs w:val="28"/>
          <w:highlight w:val="none"/>
        </w:rPr>
        <w:t>.经招标人允许，供应商可为勘察目的进入招标人的项目现场，但供应商不得因此使招标人承担有关的责任和蒙受损失。供应商应承担勘察现场的责任和风险。</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rPr>
        <w:t>.供应商应认真踏勘现场。在现场勘察时，熟悉施工及制作安装现场、现场周围交通道路等情况，以获得一切可能影响其投标的直接资料。供应商成交后，不得以不完全了解现场情况为理由而向招标人提出任何索赔的要求，对此招标人不承担任何责任并将不作任何答复与考虑。</w:t>
      </w:r>
    </w:p>
    <w:p>
      <w:pPr>
        <w:spacing w:line="460" w:lineRule="exact"/>
        <w:ind w:firstLine="560" w:firstLineChars="200"/>
        <w:rPr>
          <w:rFonts w:hint="eastAsia" w:ascii="宋体" w:hAnsi="宋体" w:cs="宋体"/>
          <w:b/>
          <w:bCs/>
          <w:color w:val="auto"/>
          <w:sz w:val="28"/>
          <w:szCs w:val="28"/>
          <w:highlight w:val="none"/>
        </w:rPr>
      </w:pPr>
      <w:r>
        <w:rPr>
          <w:rFonts w:hint="eastAsia" w:ascii="宋体" w:hAnsi="宋体" w:cs="宋体"/>
          <w:color w:val="auto"/>
          <w:sz w:val="28"/>
          <w:szCs w:val="28"/>
          <w:highlight w:val="none"/>
          <w:lang w:val="en-US" w:eastAsia="zh-CN"/>
        </w:rPr>
        <w:t>6</w:t>
      </w:r>
      <w:r>
        <w:rPr>
          <w:rFonts w:hint="eastAsia" w:ascii="宋体" w:hAnsi="宋体" w:cs="宋体"/>
          <w:color w:val="auto"/>
          <w:sz w:val="28"/>
          <w:szCs w:val="28"/>
          <w:highlight w:val="none"/>
        </w:rPr>
        <w:t>.现场实地勘察可携带营业执照副本原件及复印件、法定代表人的委托书、被委托人身份证原件及复印件至江苏航运职业技术学院勘察（联系人：徐老师，联系电话：13962943196），自本公告发布之日起5个工作日</w:t>
      </w:r>
      <w:r>
        <w:rPr>
          <w:rFonts w:hint="eastAsia" w:ascii="宋体" w:hAnsi="宋体" w:cs="宋体"/>
          <w:color w:val="auto"/>
          <w:sz w:val="28"/>
          <w:szCs w:val="28"/>
          <w:highlight w:val="none"/>
          <w:lang w:val="en-US" w:eastAsia="zh-CN"/>
        </w:rPr>
        <w:t>，</w:t>
      </w:r>
      <w:r>
        <w:rPr>
          <w:rFonts w:hint="eastAsia" w:ascii="宋体" w:hAnsi="宋体" w:cs="宋体"/>
          <w:color w:val="auto"/>
          <w:sz w:val="28"/>
          <w:szCs w:val="28"/>
          <w:highlight w:val="none"/>
        </w:rPr>
        <w:t>上午9：00--11：00，下午1：30-4：</w:t>
      </w:r>
      <w:r>
        <w:rPr>
          <w:rFonts w:hint="eastAsia" w:ascii="宋体" w:hAnsi="宋体" w:cs="宋体"/>
          <w:color w:val="auto"/>
          <w:sz w:val="28"/>
          <w:szCs w:val="28"/>
          <w:highlight w:val="none"/>
          <w:lang w:val="en-US" w:eastAsia="zh-CN"/>
        </w:rPr>
        <w:t>0</w:t>
      </w:r>
      <w:r>
        <w:rPr>
          <w:rFonts w:hint="eastAsia" w:ascii="宋体" w:hAnsi="宋体" w:cs="宋体"/>
          <w:color w:val="auto"/>
          <w:sz w:val="28"/>
          <w:szCs w:val="28"/>
          <w:highlight w:val="none"/>
        </w:rPr>
        <w:t>0。</w:t>
      </w:r>
    </w:p>
    <w:p>
      <w:pPr>
        <w:spacing w:line="460" w:lineRule="exact"/>
        <w:ind w:firstLine="562" w:firstLineChars="200"/>
        <w:rPr>
          <w:rFonts w:hint="eastAsia" w:ascii="宋体" w:hAnsi="宋体" w:cs="宋体"/>
          <w:b/>
          <w:bCs/>
          <w:color w:val="auto"/>
          <w:sz w:val="28"/>
          <w:szCs w:val="28"/>
          <w:highlight w:val="none"/>
          <w:lang w:eastAsia="zh-CN"/>
        </w:rPr>
      </w:pPr>
    </w:p>
    <w:p>
      <w:pPr>
        <w:spacing w:line="460" w:lineRule="exact"/>
        <w:ind w:firstLine="562" w:firstLineChars="200"/>
        <w:rPr>
          <w:rFonts w:hint="eastAsia" w:ascii="宋体" w:hAnsi="宋体" w:cs="宋体"/>
          <w:b/>
          <w:bCs/>
          <w:color w:val="auto"/>
          <w:sz w:val="28"/>
          <w:szCs w:val="28"/>
          <w:highlight w:val="none"/>
          <w:lang w:eastAsia="zh-CN"/>
        </w:rPr>
      </w:pPr>
      <w:r>
        <w:rPr>
          <w:rFonts w:hint="eastAsia" w:ascii="宋体" w:hAnsi="宋体" w:cs="宋体"/>
          <w:b/>
          <w:bCs/>
          <w:color w:val="auto"/>
          <w:sz w:val="28"/>
          <w:szCs w:val="28"/>
          <w:highlight w:val="none"/>
          <w:lang w:eastAsia="zh-CN"/>
        </w:rPr>
        <w:t>七：图纸</w:t>
      </w:r>
    </w:p>
    <w:p>
      <w:pPr>
        <w:spacing w:line="460" w:lineRule="exact"/>
        <w:ind w:firstLine="840" w:firstLineChars="300"/>
        <w:rPr>
          <w:rFonts w:ascii="宋体" w:hAnsi="宋体" w:cs="宋体"/>
          <w:b/>
          <w:bCs/>
          <w:color w:val="auto"/>
          <w:sz w:val="28"/>
          <w:szCs w:val="28"/>
          <w:highlight w:val="none"/>
        </w:rPr>
      </w:pPr>
      <w:r>
        <w:rPr>
          <w:rFonts w:hint="eastAsia" w:ascii="宋体" w:hAnsi="宋体" w:cs="宋体"/>
          <w:color w:val="auto"/>
          <w:sz w:val="28"/>
          <w:szCs w:val="28"/>
          <w:highlight w:val="none"/>
          <w:lang w:eastAsia="zh-CN"/>
        </w:rPr>
        <w:t>详见附件</w:t>
      </w:r>
      <w:r>
        <w:rPr>
          <w:rFonts w:hint="eastAsia" w:ascii="宋体" w:hAnsi="宋体" w:cs="宋体"/>
          <w:b/>
          <w:bCs/>
          <w:color w:val="auto"/>
          <w:sz w:val="28"/>
          <w:szCs w:val="28"/>
          <w:highlight w:val="none"/>
        </w:rPr>
        <w:br w:type="page"/>
      </w:r>
      <w:r>
        <w:rPr>
          <w:rFonts w:hint="eastAsia" w:ascii="宋体" w:hAnsi="宋体" w:cs="宋体"/>
          <w:b/>
          <w:bCs/>
          <w:color w:val="auto"/>
          <w:sz w:val="28"/>
          <w:szCs w:val="28"/>
          <w:highlight w:val="none"/>
          <w:lang w:val="en-US" w:eastAsia="zh-CN"/>
        </w:rPr>
        <w:t>八</w:t>
      </w:r>
      <w:r>
        <w:rPr>
          <w:rFonts w:hint="eastAsia" w:ascii="宋体" w:hAnsi="宋体" w:cs="宋体"/>
          <w:b/>
          <w:bCs/>
          <w:color w:val="auto"/>
          <w:sz w:val="28"/>
          <w:szCs w:val="28"/>
          <w:highlight w:val="none"/>
        </w:rPr>
        <w:t>、合同样本</w:t>
      </w:r>
    </w:p>
    <w:p>
      <w:pPr>
        <w:pStyle w:val="3"/>
        <w:rPr>
          <w:rStyle w:val="40"/>
          <w:b/>
          <w:bCs/>
          <w:color w:val="auto"/>
          <w:sz w:val="32"/>
          <w:highlight w:val="none"/>
        </w:rPr>
      </w:pPr>
      <w:r>
        <w:rPr>
          <w:rStyle w:val="40"/>
          <w:rFonts w:hint="eastAsia"/>
          <w:b/>
          <w:bCs/>
          <w:color w:val="auto"/>
          <w:sz w:val="32"/>
          <w:highlight w:val="none"/>
        </w:rPr>
        <w:t>合同草案</w:t>
      </w:r>
    </w:p>
    <w:p>
      <w:pPr>
        <w:spacing w:line="480" w:lineRule="auto"/>
        <w:ind w:firstLine="600"/>
        <w:jc w:val="center"/>
        <w:rPr>
          <w:rFonts w:ascii="宋体" w:hAnsi="宋体"/>
          <w:b/>
          <w:bCs/>
          <w:color w:val="auto"/>
          <w:sz w:val="22"/>
          <w:highlight w:val="none"/>
        </w:rPr>
      </w:pPr>
      <w:bookmarkStart w:id="107" w:name="_Toc478366264"/>
      <w:bookmarkStart w:id="108" w:name="_GoBack"/>
      <w:bookmarkEnd w:id="108"/>
    </w:p>
    <w:p>
      <w:pPr>
        <w:spacing w:line="480" w:lineRule="auto"/>
        <w:ind w:firstLine="600"/>
        <w:jc w:val="center"/>
        <w:rPr>
          <w:rFonts w:ascii="宋体" w:hAnsi="宋体"/>
          <w:b/>
          <w:bCs/>
          <w:color w:val="auto"/>
          <w:sz w:val="44"/>
          <w:szCs w:val="48"/>
          <w:highlight w:val="none"/>
        </w:rPr>
      </w:pPr>
    </w:p>
    <w:bookmarkEnd w:id="107"/>
    <w:p>
      <w:pPr>
        <w:spacing w:line="480" w:lineRule="auto"/>
        <w:ind w:firstLine="1044"/>
        <w:jc w:val="center"/>
        <w:rPr>
          <w:rFonts w:ascii="宋体" w:hAnsi="宋体"/>
          <w:b/>
          <w:bCs/>
          <w:color w:val="auto"/>
          <w:sz w:val="48"/>
          <w:szCs w:val="52"/>
          <w:highlight w:val="none"/>
        </w:rPr>
      </w:pPr>
      <w:r>
        <w:rPr>
          <w:rFonts w:hint="eastAsia" w:ascii="宋体" w:hAnsi="宋体"/>
          <w:b/>
          <w:bCs/>
          <w:color w:val="auto"/>
          <w:sz w:val="48"/>
          <w:szCs w:val="52"/>
          <w:highlight w:val="none"/>
        </w:rPr>
        <w:t>采购合同</w:t>
      </w:r>
    </w:p>
    <w:p>
      <w:pPr>
        <w:spacing w:line="480" w:lineRule="auto"/>
        <w:ind w:firstLine="883"/>
        <w:jc w:val="center"/>
        <w:rPr>
          <w:rFonts w:ascii="宋体" w:hAnsi="宋体"/>
          <w:b/>
          <w:bCs/>
          <w:color w:val="auto"/>
          <w:sz w:val="40"/>
          <w:highlight w:val="none"/>
        </w:rPr>
      </w:pPr>
    </w:p>
    <w:p>
      <w:pPr>
        <w:spacing w:line="480" w:lineRule="auto"/>
        <w:rPr>
          <w:rFonts w:ascii="宋体" w:hAnsi="宋体"/>
          <w:color w:val="auto"/>
          <w:sz w:val="28"/>
          <w:highlight w:val="none"/>
        </w:rPr>
      </w:pPr>
    </w:p>
    <w:p>
      <w:pPr>
        <w:spacing w:line="480" w:lineRule="auto"/>
        <w:rPr>
          <w:rFonts w:ascii="宋体" w:hAnsi="宋体"/>
          <w:color w:val="auto"/>
          <w:sz w:val="28"/>
          <w:highlight w:val="none"/>
        </w:rPr>
      </w:pPr>
    </w:p>
    <w:p>
      <w:pPr>
        <w:spacing w:line="480" w:lineRule="auto"/>
        <w:jc w:val="center"/>
        <w:rPr>
          <w:rFonts w:ascii="宋体" w:hAnsi="宋体"/>
          <w:color w:val="auto"/>
          <w:sz w:val="28"/>
          <w:highlight w:val="none"/>
        </w:rPr>
      </w:pPr>
      <w:r>
        <w:rPr>
          <w:rFonts w:hint="eastAsia" w:ascii="宋体" w:hAnsi="宋体"/>
          <w:color w:val="auto"/>
          <w:sz w:val="28"/>
          <w:highlight w:val="none"/>
        </w:rPr>
        <w:t xml:space="preserve">  </w:t>
      </w:r>
    </w:p>
    <w:p>
      <w:pPr>
        <w:spacing w:line="480" w:lineRule="auto"/>
        <w:rPr>
          <w:rFonts w:ascii="宋体" w:hAnsi="宋体"/>
          <w:color w:val="auto"/>
          <w:sz w:val="28"/>
          <w:highlight w:val="none"/>
        </w:rPr>
      </w:pPr>
    </w:p>
    <w:p>
      <w:pPr>
        <w:spacing w:line="480" w:lineRule="auto"/>
        <w:rPr>
          <w:rFonts w:ascii="宋体" w:hAnsi="宋体"/>
          <w:color w:val="auto"/>
          <w:sz w:val="28"/>
          <w:highlight w:val="none"/>
        </w:rPr>
      </w:pPr>
    </w:p>
    <w:p>
      <w:pPr>
        <w:spacing w:line="480" w:lineRule="auto"/>
        <w:rPr>
          <w:rFonts w:ascii="宋体" w:hAnsi="宋体"/>
          <w:color w:val="auto"/>
          <w:sz w:val="28"/>
          <w:highlight w:val="none"/>
        </w:rPr>
      </w:pPr>
    </w:p>
    <w:p>
      <w:pPr>
        <w:spacing w:line="480" w:lineRule="auto"/>
        <w:rPr>
          <w:rFonts w:ascii="宋体" w:hAnsi="宋体"/>
          <w:color w:val="auto"/>
          <w:sz w:val="28"/>
          <w:highlight w:val="none"/>
        </w:rPr>
      </w:pPr>
    </w:p>
    <w:p>
      <w:pPr>
        <w:spacing w:line="480" w:lineRule="auto"/>
        <w:rPr>
          <w:rFonts w:ascii="宋体" w:hAnsi="宋体"/>
          <w:color w:val="auto"/>
          <w:sz w:val="28"/>
          <w:highlight w:val="none"/>
        </w:rPr>
      </w:pPr>
    </w:p>
    <w:p>
      <w:pPr>
        <w:spacing w:line="360" w:lineRule="auto"/>
        <w:jc w:val="left"/>
        <w:rPr>
          <w:b/>
          <w:color w:val="auto"/>
          <w:sz w:val="28"/>
          <w:szCs w:val="28"/>
          <w:highlight w:val="none"/>
          <w:u w:val="single"/>
        </w:rPr>
      </w:pPr>
      <w:r>
        <w:rPr>
          <w:b/>
          <w:color w:val="auto"/>
          <w:sz w:val="28"/>
          <w:szCs w:val="28"/>
          <w:highlight w:val="none"/>
        </w:rPr>
        <w:t>项目编号：</w:t>
      </w:r>
    </w:p>
    <w:p>
      <w:pPr>
        <w:spacing w:line="360" w:lineRule="auto"/>
        <w:jc w:val="left"/>
        <w:rPr>
          <w:b/>
          <w:color w:val="auto"/>
          <w:sz w:val="28"/>
          <w:szCs w:val="28"/>
          <w:highlight w:val="none"/>
          <w:u w:val="single"/>
        </w:rPr>
      </w:pPr>
      <w:r>
        <w:rPr>
          <w:b/>
          <w:color w:val="auto"/>
          <w:sz w:val="28"/>
          <w:szCs w:val="28"/>
          <w:highlight w:val="none"/>
        </w:rPr>
        <w:t>项目名称：</w:t>
      </w:r>
      <w:r>
        <w:rPr>
          <w:rFonts w:hint="eastAsia"/>
          <w:b/>
          <w:color w:val="auto"/>
          <w:sz w:val="28"/>
          <w:szCs w:val="28"/>
          <w:highlight w:val="none"/>
          <w:u w:val="single"/>
        </w:rPr>
        <w:t xml:space="preserve">                    </w:t>
      </w:r>
    </w:p>
    <w:p>
      <w:pPr>
        <w:spacing w:line="360" w:lineRule="auto"/>
        <w:jc w:val="left"/>
        <w:rPr>
          <w:b/>
          <w:color w:val="auto"/>
          <w:sz w:val="28"/>
          <w:szCs w:val="28"/>
          <w:highlight w:val="none"/>
          <w:u w:val="single"/>
        </w:rPr>
      </w:pPr>
      <w:r>
        <w:rPr>
          <w:b/>
          <w:color w:val="auto"/>
          <w:sz w:val="28"/>
          <w:szCs w:val="28"/>
          <w:highlight w:val="none"/>
        </w:rPr>
        <w:t>招标人：</w:t>
      </w:r>
      <w:r>
        <w:rPr>
          <w:rFonts w:hint="eastAsia"/>
          <w:b/>
          <w:color w:val="auto"/>
          <w:sz w:val="28"/>
          <w:szCs w:val="28"/>
          <w:highlight w:val="none"/>
          <w:u w:val="single"/>
        </w:rPr>
        <w:t xml:space="preserve">                        </w:t>
      </w:r>
    </w:p>
    <w:p>
      <w:pPr>
        <w:spacing w:line="360" w:lineRule="auto"/>
        <w:jc w:val="left"/>
        <w:rPr>
          <w:b/>
          <w:color w:val="auto"/>
          <w:sz w:val="28"/>
          <w:szCs w:val="28"/>
          <w:highlight w:val="none"/>
        </w:rPr>
      </w:pPr>
      <w:r>
        <w:rPr>
          <w:rFonts w:hint="eastAsia"/>
          <w:b/>
          <w:color w:val="auto"/>
          <w:sz w:val="28"/>
          <w:szCs w:val="28"/>
          <w:highlight w:val="none"/>
        </w:rPr>
        <w:t>供应商</w:t>
      </w:r>
      <w:r>
        <w:rPr>
          <w:b/>
          <w:color w:val="auto"/>
          <w:sz w:val="28"/>
          <w:szCs w:val="28"/>
          <w:highlight w:val="none"/>
        </w:rPr>
        <w:t>：</w:t>
      </w:r>
    </w:p>
    <w:p>
      <w:pPr>
        <w:spacing w:line="360" w:lineRule="auto"/>
        <w:jc w:val="left"/>
        <w:rPr>
          <w:color w:val="auto"/>
          <w:highlight w:val="none"/>
        </w:rPr>
      </w:pPr>
      <w:r>
        <w:rPr>
          <w:b/>
          <w:color w:val="auto"/>
          <w:sz w:val="28"/>
          <w:szCs w:val="28"/>
          <w:highlight w:val="none"/>
        </w:rPr>
        <w:t>签订日期：</w:t>
      </w:r>
      <w:r>
        <w:rPr>
          <w:rFonts w:hint="eastAsia"/>
          <w:b/>
          <w:color w:val="auto"/>
          <w:sz w:val="28"/>
          <w:szCs w:val="28"/>
          <w:highlight w:val="none"/>
        </w:rPr>
        <w:t xml:space="preserve">   年   月    日</w:t>
      </w:r>
    </w:p>
    <w:p>
      <w:pPr>
        <w:spacing w:line="480" w:lineRule="auto"/>
        <w:rPr>
          <w:rFonts w:ascii="宋体" w:hAnsi="宋体"/>
          <w:color w:val="auto"/>
          <w:sz w:val="28"/>
          <w:highlight w:val="none"/>
        </w:rPr>
      </w:pPr>
    </w:p>
    <w:p>
      <w:pPr>
        <w:spacing w:line="480" w:lineRule="auto"/>
        <w:rPr>
          <w:rFonts w:ascii="宋体" w:hAnsi="宋体"/>
          <w:color w:val="auto"/>
          <w:sz w:val="28"/>
          <w:highlight w:val="none"/>
        </w:rPr>
      </w:pPr>
    </w:p>
    <w:tbl>
      <w:tblPr>
        <w:tblStyle w:val="37"/>
        <w:tblW w:w="0" w:type="auto"/>
        <w:tblInd w:w="-108" w:type="dxa"/>
        <w:tblLayout w:type="fixed"/>
        <w:tblCellMar>
          <w:top w:w="0" w:type="dxa"/>
          <w:left w:w="0" w:type="dxa"/>
          <w:bottom w:w="0" w:type="dxa"/>
          <w:right w:w="0" w:type="dxa"/>
        </w:tblCellMar>
      </w:tblPr>
      <w:tblGrid>
        <w:gridCol w:w="4643"/>
        <w:gridCol w:w="4643"/>
      </w:tblGrid>
      <w:tr>
        <w:tblPrEx>
          <w:tblCellMar>
            <w:top w:w="0" w:type="dxa"/>
            <w:left w:w="0" w:type="dxa"/>
            <w:bottom w:w="0" w:type="dxa"/>
            <w:right w:w="0" w:type="dxa"/>
          </w:tblCellMar>
        </w:tblPrEx>
        <w:tc>
          <w:tcPr>
            <w:tcW w:w="4643" w:type="dxa"/>
            <w:tcBorders>
              <w:top w:val="nil"/>
              <w:left w:val="nil"/>
              <w:bottom w:val="nil"/>
              <w:right w:val="nil"/>
            </w:tcBorders>
          </w:tcPr>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项目编号：</w:t>
            </w:r>
          </w:p>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招标人（以下称甲方）</w:t>
            </w:r>
          </w:p>
        </w:tc>
        <w:tc>
          <w:tcPr>
            <w:tcW w:w="4643" w:type="dxa"/>
            <w:tcBorders>
              <w:top w:val="nil"/>
              <w:left w:val="nil"/>
              <w:bottom w:val="nil"/>
              <w:right w:val="nil"/>
            </w:tcBorders>
          </w:tcPr>
          <w:p>
            <w:pPr>
              <w:spacing w:line="360" w:lineRule="auto"/>
              <w:ind w:firstLine="420" w:firstLineChars="200"/>
              <w:rPr>
                <w:rFonts w:ascii="宋体" w:hAnsi="宋体" w:cs="宋体"/>
                <w:color w:val="auto"/>
                <w:kern w:val="0"/>
                <w:szCs w:val="21"/>
                <w:highlight w:val="none"/>
                <w:lang w:val="zh-CN"/>
              </w:rPr>
            </w:pPr>
          </w:p>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供应商：（以下称乙方）</w:t>
            </w:r>
          </w:p>
        </w:tc>
      </w:tr>
      <w:tr>
        <w:tblPrEx>
          <w:tblCellMar>
            <w:top w:w="0" w:type="dxa"/>
            <w:left w:w="0" w:type="dxa"/>
            <w:bottom w:w="0" w:type="dxa"/>
            <w:right w:w="0" w:type="dxa"/>
          </w:tblCellMar>
        </w:tblPrEx>
        <w:tc>
          <w:tcPr>
            <w:tcW w:w="4643" w:type="dxa"/>
            <w:tcBorders>
              <w:top w:val="nil"/>
              <w:left w:val="nil"/>
              <w:bottom w:val="nil"/>
              <w:right w:val="nil"/>
            </w:tcBorders>
          </w:tcPr>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住所地：</w:t>
            </w:r>
          </w:p>
        </w:tc>
        <w:tc>
          <w:tcPr>
            <w:tcW w:w="4643" w:type="dxa"/>
            <w:tcBorders>
              <w:top w:val="nil"/>
              <w:left w:val="nil"/>
              <w:bottom w:val="nil"/>
              <w:right w:val="nil"/>
            </w:tcBorders>
          </w:tcPr>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住所地：</w:t>
            </w:r>
          </w:p>
        </w:tc>
      </w:tr>
    </w:tbl>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根据</w:t>
      </w:r>
      <w:r>
        <w:rPr>
          <w:rFonts w:hint="eastAsia"/>
          <w:color w:val="auto"/>
          <w:highlight w:val="none"/>
        </w:rPr>
        <w:t>《中华人民共和国招标投标法》</w:t>
      </w:r>
      <w:r>
        <w:rPr>
          <w:rFonts w:hint="eastAsia" w:ascii="宋体" w:hAnsi="宋体" w:cs="宋体"/>
          <w:color w:val="auto"/>
          <w:kern w:val="0"/>
          <w:szCs w:val="21"/>
          <w:highlight w:val="none"/>
          <w:lang w:val="zh-CN"/>
        </w:rPr>
        <w:t>、《中华人民共和国民法典》等法律法规的规定，甲乙双方按照招标代理机构的招标结果签订本合同。</w:t>
      </w:r>
    </w:p>
    <w:p>
      <w:pPr>
        <w:numPr>
          <w:ilvl w:val="0"/>
          <w:numId w:val="2"/>
        </w:numPr>
        <w:spacing w:line="360" w:lineRule="auto"/>
        <w:jc w:val="left"/>
        <w:rPr>
          <w:rFonts w:ascii="宋体"/>
          <w:color w:val="auto"/>
          <w:szCs w:val="21"/>
          <w:highlight w:val="none"/>
        </w:rPr>
      </w:pPr>
      <w:r>
        <w:rPr>
          <w:rFonts w:hint="eastAsia" w:ascii="宋体" w:hAnsi="宋体" w:cs="宋体"/>
          <w:b/>
          <w:bCs/>
          <w:color w:val="auto"/>
          <w:szCs w:val="21"/>
          <w:highlight w:val="none"/>
          <w:lang w:val="zh-CN"/>
        </w:rPr>
        <w:t>合同标的</w:t>
      </w:r>
      <w:r>
        <w:rPr>
          <w:rFonts w:hint="eastAsia" w:ascii="宋体" w:hAnsi="宋体" w:cs="仿宋"/>
          <w:color w:val="auto"/>
          <w:szCs w:val="21"/>
          <w:highlight w:val="none"/>
          <w:lang w:val="zh-CN"/>
        </w:rPr>
        <w:t xml:space="preserve">  </w:t>
      </w:r>
      <w:r>
        <w:rPr>
          <w:rFonts w:hint="eastAsia"/>
          <w:color w:val="auto"/>
          <w:highlight w:val="none"/>
          <w:lang w:val="zh-CN"/>
        </w:rPr>
        <w:t>乙方根据甲方需求提供下列服务</w:t>
      </w:r>
      <w:r>
        <w:rPr>
          <w:rFonts w:hint="eastAsia" w:ascii="宋体"/>
          <w:color w:val="auto"/>
          <w:szCs w:val="21"/>
          <w:highlight w:val="none"/>
          <w:lang w:val="zh-CN"/>
        </w:rPr>
        <w:t>：</w:t>
      </w:r>
    </w:p>
    <w:p>
      <w:pPr>
        <w:spacing w:line="360" w:lineRule="auto"/>
        <w:ind w:firstLine="420" w:firstLineChars="200"/>
        <w:jc w:val="left"/>
        <w:rPr>
          <w:rFonts w:ascii="宋体"/>
          <w:b/>
          <w:color w:val="auto"/>
          <w:szCs w:val="21"/>
          <w:highlight w:val="none"/>
          <w:u w:val="single"/>
        </w:rPr>
      </w:pPr>
      <w:r>
        <w:rPr>
          <w:rFonts w:hint="eastAsia" w:ascii="宋体"/>
          <w:color w:val="auto"/>
          <w:szCs w:val="21"/>
          <w:highlight w:val="none"/>
          <w:lang w:val="zh-CN"/>
        </w:rPr>
        <w:t>详见乙方</w:t>
      </w:r>
      <w:r>
        <w:rPr>
          <w:rFonts w:hint="eastAsia" w:ascii="宋体"/>
          <w:color w:val="auto"/>
          <w:szCs w:val="21"/>
          <w:highlight w:val="none"/>
          <w:u w:val="single"/>
        </w:rPr>
        <w:t xml:space="preserve">         </w:t>
      </w:r>
      <w:r>
        <w:rPr>
          <w:rFonts w:ascii="宋体"/>
          <w:color w:val="auto"/>
          <w:szCs w:val="21"/>
          <w:highlight w:val="none"/>
          <w:u w:val="single"/>
        </w:rPr>
        <w:t xml:space="preserve">                     </w:t>
      </w:r>
      <w:r>
        <w:rPr>
          <w:rFonts w:hint="eastAsia" w:ascii="宋体"/>
          <w:color w:val="auto"/>
          <w:szCs w:val="21"/>
          <w:highlight w:val="none"/>
          <w:u w:val="single"/>
        </w:rPr>
        <w:t xml:space="preserve">                </w:t>
      </w:r>
      <w:r>
        <w:rPr>
          <w:rFonts w:hint="eastAsia" w:ascii="宋体"/>
          <w:color w:val="auto"/>
          <w:szCs w:val="21"/>
          <w:highlight w:val="none"/>
        </w:rPr>
        <w:t>（项目名称）</w:t>
      </w:r>
      <w:r>
        <w:rPr>
          <w:rFonts w:hint="eastAsia" w:ascii="宋体"/>
          <w:color w:val="auto"/>
          <w:szCs w:val="21"/>
          <w:highlight w:val="none"/>
          <w:lang w:val="zh-CN"/>
        </w:rPr>
        <w:t>投标文件</w:t>
      </w:r>
      <w:r>
        <w:rPr>
          <w:rFonts w:hint="eastAsia" w:ascii="宋体"/>
          <w:b/>
          <w:color w:val="auto"/>
          <w:szCs w:val="21"/>
          <w:highlight w:val="none"/>
          <w:lang w:val="zh-CN"/>
        </w:rPr>
        <w:t>。</w:t>
      </w:r>
    </w:p>
    <w:p>
      <w:pPr>
        <w:autoSpaceDE w:val="0"/>
        <w:autoSpaceDN w:val="0"/>
        <w:adjustRightInd w:val="0"/>
        <w:spacing w:line="360" w:lineRule="auto"/>
        <w:ind w:firstLine="420"/>
        <w:rPr>
          <w:rFonts w:ascii="宋体"/>
          <w:color w:val="auto"/>
          <w:szCs w:val="21"/>
          <w:highlight w:val="none"/>
          <w:lang w:val="zh-CN"/>
        </w:rPr>
      </w:pPr>
      <w:r>
        <w:rPr>
          <w:rFonts w:hint="eastAsia" w:ascii="宋体"/>
          <w:b/>
          <w:bCs/>
          <w:color w:val="auto"/>
          <w:szCs w:val="21"/>
          <w:highlight w:val="none"/>
          <w:lang w:val="zh-CN"/>
        </w:rPr>
        <w:t xml:space="preserve">第二条合同总价款 </w:t>
      </w:r>
      <w:r>
        <w:rPr>
          <w:rFonts w:hint="eastAsia" w:ascii="宋体"/>
          <w:color w:val="auto"/>
          <w:szCs w:val="21"/>
          <w:highlight w:val="none"/>
          <w:lang w:val="zh-CN"/>
        </w:rPr>
        <w:t>人民币总价款为</w:t>
      </w:r>
      <w:r>
        <w:rPr>
          <w:rFonts w:hAnsi="宋体" w:cs="宋体"/>
          <w:color w:val="auto"/>
          <w:highlight w:val="none"/>
          <w:u w:val="single"/>
        </w:rPr>
        <w:t xml:space="preserve">                                </w:t>
      </w:r>
      <w:r>
        <w:rPr>
          <w:rFonts w:hint="eastAsia" w:ascii="宋体"/>
          <w:color w:val="auto"/>
          <w:szCs w:val="21"/>
          <w:highlight w:val="none"/>
          <w:lang w:val="zh-CN"/>
        </w:rPr>
        <w:t>（大写）人民币。</w:t>
      </w:r>
      <w:r>
        <w:rPr>
          <w:rFonts w:hint="eastAsia"/>
          <w:color w:val="auto"/>
          <w:szCs w:val="21"/>
          <w:highlight w:val="none"/>
        </w:rPr>
        <w:t>交货期：</w:t>
      </w:r>
      <w:r>
        <w:rPr>
          <w:rFonts w:ascii="宋体" w:hAnsi="宋体" w:cs="宋体"/>
          <w:color w:val="auto"/>
          <w:highlight w:val="none"/>
        </w:rPr>
        <w:t>合同签订之日起</w:t>
      </w:r>
      <w:r>
        <w:rPr>
          <w:rFonts w:hint="eastAsia" w:ascii="宋体" w:hAnsi="宋体" w:cs="宋体"/>
          <w:color w:val="auto"/>
          <w:highlight w:val="none"/>
          <w:u w:val="single"/>
        </w:rPr>
        <w:t xml:space="preserve"> </w:t>
      </w:r>
      <w:r>
        <w:rPr>
          <w:rFonts w:ascii="宋体" w:hAnsi="宋体" w:cs="宋体"/>
          <w:color w:val="auto"/>
          <w:highlight w:val="none"/>
          <w:u w:val="single"/>
        </w:rPr>
        <w:t xml:space="preserve">              </w:t>
      </w:r>
      <w:r>
        <w:rPr>
          <w:rFonts w:hint="eastAsia" w:hAnsi="宋体" w:cs="宋体"/>
          <w:color w:val="auto"/>
          <w:highlight w:val="none"/>
          <w:u w:val="single"/>
        </w:rPr>
        <w:t xml:space="preserve"> </w:t>
      </w:r>
      <w:r>
        <w:rPr>
          <w:rFonts w:ascii="宋体" w:hAnsi="宋体" w:cs="宋体"/>
          <w:color w:val="auto"/>
          <w:highlight w:val="none"/>
        </w:rPr>
        <w:t>天内完成设备的供货、安装与调试，验收合格并交付使用</w:t>
      </w:r>
      <w:r>
        <w:rPr>
          <w:rFonts w:hint="eastAsia" w:ascii="宋体" w:hAnsi="宋体" w:cs="宋体"/>
          <w:color w:val="auto"/>
          <w:highlight w:val="none"/>
        </w:rPr>
        <w:t>。</w:t>
      </w:r>
    </w:p>
    <w:p>
      <w:pPr>
        <w:spacing w:line="360" w:lineRule="auto"/>
        <w:ind w:firstLine="420" w:firstLineChars="200"/>
        <w:rPr>
          <w:color w:val="auto"/>
          <w:highlight w:val="none"/>
        </w:rPr>
      </w:pPr>
      <w:r>
        <w:rPr>
          <w:rFonts w:hint="eastAsia"/>
          <w:color w:val="auto"/>
          <w:highlight w:val="none"/>
        </w:rPr>
        <w:t>本合同总价款包括但不限于乙方服务费、工本费、工资、保险费、差旅费、国家强制缴纳的各种社会保障资金、各项税费、乙方认为需要的其他费用等本合同履行产生的所有费用。</w:t>
      </w:r>
    </w:p>
    <w:p>
      <w:pPr>
        <w:autoSpaceDE w:val="0"/>
        <w:autoSpaceDN w:val="0"/>
        <w:adjustRightInd w:val="0"/>
        <w:spacing w:line="360" w:lineRule="auto"/>
        <w:ind w:firstLine="420"/>
        <w:rPr>
          <w:rFonts w:ascii="宋体"/>
          <w:color w:val="auto"/>
          <w:szCs w:val="21"/>
          <w:highlight w:val="none"/>
          <w:lang w:val="zh-CN"/>
        </w:rPr>
      </w:pPr>
      <w:r>
        <w:rPr>
          <w:rFonts w:hint="eastAsia" w:ascii="宋体"/>
          <w:b/>
          <w:bCs/>
          <w:color w:val="auto"/>
          <w:szCs w:val="21"/>
          <w:highlight w:val="none"/>
          <w:lang w:val="zh-CN"/>
        </w:rPr>
        <w:t>第三条组成本合同的有关文件</w:t>
      </w:r>
    </w:p>
    <w:p>
      <w:pPr>
        <w:autoSpaceDE w:val="0"/>
        <w:autoSpaceDN w:val="0"/>
        <w:adjustRightInd w:val="0"/>
        <w:spacing w:line="360" w:lineRule="auto"/>
        <w:ind w:firstLine="420"/>
        <w:rPr>
          <w:rFonts w:ascii="宋体"/>
          <w:b/>
          <w:bCs/>
          <w:color w:val="auto"/>
          <w:szCs w:val="21"/>
          <w:highlight w:val="none"/>
          <w:lang w:val="zh-CN"/>
        </w:rPr>
      </w:pPr>
      <w:r>
        <w:rPr>
          <w:rFonts w:hint="eastAsia" w:ascii="宋体"/>
          <w:color w:val="auto"/>
          <w:szCs w:val="21"/>
          <w:highlight w:val="none"/>
          <w:lang w:val="zh-CN"/>
        </w:rPr>
        <w:t>组成合同的各项文件应互相解释，互为说明。除专用合同条款另有约定外，解释合同文件的优先顺序如下：</w:t>
      </w:r>
      <w:r>
        <w:rPr>
          <w:rFonts w:hint="eastAsia" w:ascii="宋体"/>
          <w:b/>
          <w:bCs/>
          <w:color w:val="auto"/>
          <w:szCs w:val="21"/>
          <w:highlight w:val="none"/>
          <w:lang w:val="zh-CN"/>
        </w:rPr>
        <w:t xml:space="preserve"> </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 xml:space="preserve">（1）合同协议书； </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 xml:space="preserve">（2）中标通知书； </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 xml:space="preserve">（3）投标函； </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 xml:space="preserve">（4）商务和技术偏差表； </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w:t>
      </w:r>
      <w:r>
        <w:rPr>
          <w:rFonts w:ascii="宋体"/>
          <w:color w:val="auto"/>
          <w:szCs w:val="21"/>
          <w:highlight w:val="none"/>
          <w:lang w:val="zh-CN"/>
        </w:rPr>
        <w:t>5</w:t>
      </w:r>
      <w:r>
        <w:rPr>
          <w:rFonts w:hint="eastAsia" w:ascii="宋体"/>
          <w:color w:val="auto"/>
          <w:szCs w:val="21"/>
          <w:highlight w:val="none"/>
          <w:lang w:val="zh-CN"/>
        </w:rPr>
        <w:t xml:space="preserve">）供货要求； </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w:t>
      </w:r>
      <w:r>
        <w:rPr>
          <w:rFonts w:ascii="宋体"/>
          <w:color w:val="auto"/>
          <w:szCs w:val="21"/>
          <w:highlight w:val="none"/>
          <w:lang w:val="zh-CN"/>
        </w:rPr>
        <w:t>6</w:t>
      </w:r>
      <w:r>
        <w:rPr>
          <w:rFonts w:hint="eastAsia" w:ascii="宋体"/>
          <w:color w:val="auto"/>
          <w:szCs w:val="21"/>
          <w:highlight w:val="none"/>
          <w:lang w:val="zh-CN"/>
        </w:rPr>
        <w:t xml:space="preserve">）报价表； </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w:t>
      </w:r>
      <w:r>
        <w:rPr>
          <w:rFonts w:ascii="宋体"/>
          <w:color w:val="auto"/>
          <w:szCs w:val="21"/>
          <w:highlight w:val="none"/>
          <w:lang w:val="zh-CN"/>
        </w:rPr>
        <w:t>7</w:t>
      </w:r>
      <w:r>
        <w:rPr>
          <w:rFonts w:hint="eastAsia" w:ascii="宋体"/>
          <w:color w:val="auto"/>
          <w:szCs w:val="21"/>
          <w:highlight w:val="none"/>
          <w:lang w:val="zh-CN"/>
        </w:rPr>
        <w:t xml:space="preserve">）中标材料质量标准的详细描述； </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w:t>
      </w:r>
      <w:r>
        <w:rPr>
          <w:rFonts w:ascii="宋体"/>
          <w:color w:val="auto"/>
          <w:szCs w:val="21"/>
          <w:highlight w:val="none"/>
          <w:lang w:val="zh-CN"/>
        </w:rPr>
        <w:t>8</w:t>
      </w:r>
      <w:r>
        <w:rPr>
          <w:rFonts w:hint="eastAsia" w:ascii="宋体"/>
          <w:color w:val="auto"/>
          <w:szCs w:val="21"/>
          <w:highlight w:val="none"/>
          <w:lang w:val="zh-CN"/>
        </w:rPr>
        <w:t xml:space="preserve">）相关服务计划； </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w:t>
      </w:r>
      <w:r>
        <w:rPr>
          <w:rFonts w:ascii="宋体"/>
          <w:color w:val="auto"/>
          <w:szCs w:val="21"/>
          <w:highlight w:val="none"/>
          <w:lang w:val="zh-CN"/>
        </w:rPr>
        <w:t>9</w:t>
      </w:r>
      <w:r>
        <w:rPr>
          <w:rFonts w:hint="eastAsia" w:ascii="宋体"/>
          <w:color w:val="auto"/>
          <w:szCs w:val="21"/>
          <w:highlight w:val="none"/>
          <w:lang w:val="zh-CN"/>
        </w:rPr>
        <w:t xml:space="preserve">）其他合同文件。 </w:t>
      </w:r>
    </w:p>
    <w:p>
      <w:pPr>
        <w:autoSpaceDE w:val="0"/>
        <w:autoSpaceDN w:val="0"/>
        <w:adjustRightInd w:val="0"/>
        <w:spacing w:line="360" w:lineRule="auto"/>
        <w:ind w:firstLine="420"/>
        <w:rPr>
          <w:rFonts w:ascii="宋体"/>
          <w:b/>
          <w:bCs/>
          <w:color w:val="auto"/>
          <w:szCs w:val="21"/>
          <w:highlight w:val="none"/>
          <w:lang w:val="zh-CN"/>
        </w:rPr>
      </w:pPr>
      <w:r>
        <w:rPr>
          <w:rFonts w:hint="eastAsia" w:ascii="宋体"/>
          <w:b/>
          <w:bCs/>
          <w:color w:val="auto"/>
          <w:szCs w:val="21"/>
          <w:highlight w:val="none"/>
          <w:lang w:val="zh-CN"/>
        </w:rPr>
        <w:t>第四条权利保证</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乙方应保证甲方在使用该服务或其任何一部分时不受第三方提出侵犯其专利权、版权、商标权或其他权利的起诉。一旦出现侵权，乙方应承担全部责任，如造成甲方损失的，乙方还应当赔偿甲方全部损失。乙方提交成果的知识产权归属权为甲方享有。</w:t>
      </w:r>
    </w:p>
    <w:p>
      <w:pPr>
        <w:autoSpaceDE w:val="0"/>
        <w:autoSpaceDN w:val="0"/>
        <w:adjustRightInd w:val="0"/>
        <w:spacing w:line="360" w:lineRule="auto"/>
        <w:ind w:firstLine="420"/>
        <w:rPr>
          <w:rFonts w:ascii="宋体"/>
          <w:b/>
          <w:bCs/>
          <w:color w:val="auto"/>
          <w:szCs w:val="21"/>
          <w:highlight w:val="none"/>
          <w:lang w:val="zh-CN"/>
        </w:rPr>
      </w:pPr>
      <w:r>
        <w:rPr>
          <w:rFonts w:hint="eastAsia" w:ascii="宋体"/>
          <w:b/>
          <w:bCs/>
          <w:color w:val="auto"/>
          <w:szCs w:val="21"/>
          <w:highlight w:val="none"/>
          <w:lang w:val="zh-CN"/>
        </w:rPr>
        <w:t>第五条伴随服务／售后服务</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★1、供货期：</w:t>
      </w:r>
      <w:r>
        <w:rPr>
          <w:rFonts w:hint="eastAsia" w:ascii="宋体"/>
          <w:color w:val="auto"/>
          <w:szCs w:val="21"/>
          <w:highlight w:val="none"/>
        </w:rPr>
        <w:t>乙方</w:t>
      </w:r>
      <w:r>
        <w:rPr>
          <w:rFonts w:hint="eastAsia" w:ascii="宋体"/>
          <w:color w:val="auto"/>
          <w:szCs w:val="21"/>
          <w:highlight w:val="none"/>
          <w:lang w:val="zh-CN"/>
        </w:rPr>
        <w:t>应在合同生效后</w:t>
      </w:r>
      <w:r>
        <w:rPr>
          <w:rFonts w:ascii="宋体"/>
          <w:color w:val="auto"/>
          <w:szCs w:val="21"/>
          <w:highlight w:val="none"/>
        </w:rPr>
        <w:t>120</w:t>
      </w:r>
      <w:r>
        <w:rPr>
          <w:rFonts w:hint="eastAsia" w:ascii="宋体"/>
          <w:color w:val="auto"/>
          <w:szCs w:val="21"/>
          <w:highlight w:val="none"/>
          <w:lang w:val="zh-CN"/>
        </w:rPr>
        <w:t>日历天内完成供货及安装</w:t>
      </w:r>
      <w:r>
        <w:rPr>
          <w:rFonts w:ascii="宋体" w:hAnsi="宋体" w:cs="宋体"/>
          <w:color w:val="auto"/>
          <w:highlight w:val="none"/>
        </w:rPr>
        <w:t>与调试，验收合格并交付使用</w:t>
      </w:r>
      <w:r>
        <w:rPr>
          <w:rFonts w:hint="eastAsia" w:ascii="宋体"/>
          <w:color w:val="auto"/>
          <w:szCs w:val="21"/>
          <w:highlight w:val="none"/>
          <w:lang w:val="zh-CN"/>
        </w:rPr>
        <w:t>。</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★2、交货安装地点：</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★3、质保期：按合同及国家相关规定进行验收，全部设备质保期为最终验收合格</w:t>
      </w:r>
      <w:r>
        <w:rPr>
          <w:rFonts w:hint="eastAsia" w:ascii="宋体"/>
          <w:color w:val="auto"/>
          <w:szCs w:val="21"/>
          <w:highlight w:val="none"/>
        </w:rPr>
        <w:t>并交付使用</w:t>
      </w:r>
      <w:r>
        <w:rPr>
          <w:rFonts w:hint="eastAsia" w:ascii="宋体"/>
          <w:color w:val="auto"/>
          <w:szCs w:val="21"/>
          <w:highlight w:val="none"/>
          <w:lang w:val="zh-CN"/>
        </w:rPr>
        <w:t>之日起：</w:t>
      </w:r>
      <w:r>
        <w:rPr>
          <w:rFonts w:hint="eastAsia" w:ascii="宋体"/>
          <w:color w:val="auto"/>
          <w:szCs w:val="21"/>
          <w:highlight w:val="none"/>
          <w:lang w:eastAsia="zh-CN"/>
        </w:rPr>
        <w:t>三</w:t>
      </w:r>
      <w:r>
        <w:rPr>
          <w:rFonts w:hint="eastAsia" w:ascii="宋体"/>
          <w:color w:val="auto"/>
          <w:szCs w:val="21"/>
          <w:highlight w:val="none"/>
          <w:lang w:val="zh-CN"/>
        </w:rPr>
        <w:t>年。</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4、运输、装卸及安装：</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rPr>
        <w:t>乙方</w:t>
      </w:r>
      <w:r>
        <w:rPr>
          <w:rFonts w:hint="eastAsia" w:ascii="宋体"/>
          <w:color w:val="auto"/>
          <w:szCs w:val="21"/>
          <w:highlight w:val="none"/>
          <w:lang w:val="zh-CN"/>
        </w:rPr>
        <w:t>应免费负责所有设备的运输、装卸及安装。</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5、服务团队要求：</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质保期内应配备专有服务团队，提供7×24小时电话响应服务。所有设备若出现问题，</w:t>
      </w:r>
      <w:r>
        <w:rPr>
          <w:rFonts w:hint="eastAsia" w:ascii="宋体"/>
          <w:color w:val="auto"/>
          <w:szCs w:val="21"/>
          <w:highlight w:val="none"/>
        </w:rPr>
        <w:t>乙方</w:t>
      </w:r>
      <w:r>
        <w:rPr>
          <w:rFonts w:hint="eastAsia" w:ascii="宋体"/>
          <w:color w:val="auto"/>
          <w:szCs w:val="21"/>
          <w:highlight w:val="none"/>
          <w:lang w:val="zh-CN"/>
        </w:rPr>
        <w:t>在接到</w:t>
      </w:r>
      <w:r>
        <w:rPr>
          <w:rFonts w:hint="eastAsia" w:ascii="宋体"/>
          <w:color w:val="auto"/>
          <w:szCs w:val="21"/>
          <w:highlight w:val="none"/>
        </w:rPr>
        <w:t>甲方</w:t>
      </w:r>
      <w:r>
        <w:rPr>
          <w:rFonts w:hint="eastAsia" w:ascii="宋体"/>
          <w:color w:val="auto"/>
          <w:szCs w:val="21"/>
          <w:highlight w:val="none"/>
          <w:lang w:val="zh-CN"/>
        </w:rPr>
        <w:t>通知后</w:t>
      </w:r>
      <w:r>
        <w:rPr>
          <w:rFonts w:hint="eastAsia" w:ascii="宋体"/>
          <w:color w:val="auto"/>
          <w:szCs w:val="21"/>
          <w:highlight w:val="none"/>
        </w:rPr>
        <w:t>12</w:t>
      </w:r>
      <w:r>
        <w:rPr>
          <w:rFonts w:hint="eastAsia" w:ascii="宋体"/>
          <w:color w:val="auto"/>
          <w:szCs w:val="21"/>
          <w:highlight w:val="none"/>
          <w:lang w:val="zh-CN"/>
        </w:rPr>
        <w:t>小时内到达现场，提供免费服务。</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6、质量保证和售后服务方案：</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所有设备若出现问题，</w:t>
      </w:r>
      <w:r>
        <w:rPr>
          <w:rFonts w:hint="eastAsia" w:ascii="宋体"/>
          <w:color w:val="auto"/>
          <w:szCs w:val="21"/>
          <w:highlight w:val="none"/>
        </w:rPr>
        <w:t>乙方</w:t>
      </w:r>
      <w:r>
        <w:rPr>
          <w:rFonts w:hint="eastAsia" w:ascii="宋体"/>
          <w:color w:val="auto"/>
          <w:szCs w:val="21"/>
          <w:highlight w:val="none"/>
          <w:lang w:val="zh-CN"/>
        </w:rPr>
        <w:t>在接到</w:t>
      </w:r>
      <w:r>
        <w:rPr>
          <w:rFonts w:hint="eastAsia" w:ascii="宋体"/>
          <w:color w:val="auto"/>
          <w:szCs w:val="21"/>
          <w:highlight w:val="none"/>
        </w:rPr>
        <w:t>甲方</w:t>
      </w:r>
      <w:r>
        <w:rPr>
          <w:rFonts w:hint="eastAsia" w:ascii="宋体"/>
          <w:color w:val="auto"/>
          <w:szCs w:val="21"/>
          <w:highlight w:val="none"/>
          <w:lang w:val="zh-CN"/>
        </w:rPr>
        <w:t>通知后，</w:t>
      </w:r>
      <w:r>
        <w:rPr>
          <w:rFonts w:hint="eastAsia" w:ascii="宋体"/>
          <w:color w:val="auto"/>
          <w:szCs w:val="21"/>
          <w:highlight w:val="none"/>
        </w:rPr>
        <w:t>12</w:t>
      </w:r>
      <w:r>
        <w:rPr>
          <w:rFonts w:hint="eastAsia" w:ascii="宋体"/>
          <w:color w:val="auto"/>
          <w:szCs w:val="21"/>
          <w:highlight w:val="none"/>
          <w:lang w:val="zh-CN"/>
        </w:rPr>
        <w:t>小时内到达现场，</w:t>
      </w:r>
      <w:r>
        <w:rPr>
          <w:rFonts w:hint="eastAsia" w:ascii="宋体"/>
          <w:color w:val="auto"/>
          <w:szCs w:val="21"/>
          <w:highlight w:val="none"/>
        </w:rPr>
        <w:t>12</w:t>
      </w:r>
      <w:r>
        <w:rPr>
          <w:rFonts w:hint="eastAsia" w:ascii="宋体"/>
          <w:color w:val="auto"/>
          <w:szCs w:val="21"/>
          <w:highlight w:val="none"/>
          <w:lang w:val="zh-CN"/>
        </w:rPr>
        <w:t>小时内给予修复，如发生紧急故障，在得到通知后，</w:t>
      </w:r>
      <w:r>
        <w:rPr>
          <w:rFonts w:hint="eastAsia" w:ascii="宋体"/>
          <w:color w:val="auto"/>
          <w:szCs w:val="21"/>
          <w:highlight w:val="none"/>
        </w:rPr>
        <w:t>乙方</w:t>
      </w:r>
      <w:r>
        <w:rPr>
          <w:rFonts w:hint="eastAsia" w:ascii="宋体"/>
          <w:color w:val="auto"/>
          <w:szCs w:val="21"/>
          <w:highlight w:val="none"/>
          <w:lang w:val="zh-CN"/>
        </w:rPr>
        <w:t>应立即响应，6 小时内到达现场。 因软硬件设备本身以外原因造成的故障</w:t>
      </w:r>
      <w:r>
        <w:rPr>
          <w:rFonts w:hint="eastAsia" w:ascii="宋体"/>
          <w:color w:val="auto"/>
          <w:szCs w:val="21"/>
          <w:highlight w:val="none"/>
        </w:rPr>
        <w:t>乙方</w:t>
      </w:r>
      <w:r>
        <w:rPr>
          <w:rFonts w:hint="eastAsia" w:ascii="宋体"/>
          <w:color w:val="auto"/>
          <w:szCs w:val="21"/>
          <w:highlight w:val="none"/>
          <w:lang w:val="zh-CN"/>
        </w:rPr>
        <w:t>承诺在最快的时间内修复。不能及时修复的，</w:t>
      </w:r>
      <w:r>
        <w:rPr>
          <w:rFonts w:hint="eastAsia" w:ascii="宋体"/>
          <w:color w:val="auto"/>
          <w:szCs w:val="21"/>
          <w:highlight w:val="none"/>
        </w:rPr>
        <w:t>乙方</w:t>
      </w:r>
      <w:r>
        <w:rPr>
          <w:rFonts w:hint="eastAsia" w:ascii="宋体"/>
          <w:color w:val="auto"/>
          <w:szCs w:val="21"/>
          <w:highlight w:val="none"/>
          <w:lang w:val="zh-CN"/>
        </w:rPr>
        <w:t>应免费提供备品备件，保证</w:t>
      </w:r>
      <w:r>
        <w:rPr>
          <w:rFonts w:hint="eastAsia" w:ascii="宋体"/>
          <w:color w:val="auto"/>
          <w:szCs w:val="21"/>
          <w:highlight w:val="none"/>
        </w:rPr>
        <w:t>甲方</w:t>
      </w:r>
      <w:r>
        <w:rPr>
          <w:rFonts w:hint="eastAsia" w:ascii="宋体"/>
          <w:color w:val="auto"/>
          <w:szCs w:val="21"/>
          <w:highlight w:val="none"/>
          <w:lang w:val="zh-CN"/>
        </w:rPr>
        <w:t>的正常使用。</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7、验收标准及方法：验收时要求按照相关标准和标书及合同文件，由</w:t>
      </w:r>
      <w:r>
        <w:rPr>
          <w:rFonts w:hint="eastAsia" w:ascii="宋体"/>
          <w:color w:val="auto"/>
          <w:szCs w:val="21"/>
          <w:highlight w:val="none"/>
        </w:rPr>
        <w:t>甲方</w:t>
      </w:r>
      <w:r>
        <w:rPr>
          <w:rFonts w:hint="eastAsia" w:ascii="宋体"/>
          <w:color w:val="auto"/>
          <w:szCs w:val="21"/>
          <w:highlight w:val="none"/>
          <w:lang w:val="zh-CN"/>
        </w:rPr>
        <w:t>签字确认，方可完成验收。</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8、质量检测及处罚：</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lang w:val="zh-CN"/>
        </w:rPr>
        <w:t>投标产品的检测结果不得低于</w:t>
      </w:r>
      <w:r>
        <w:rPr>
          <w:rFonts w:hint="eastAsia" w:ascii="宋体"/>
          <w:color w:val="auto"/>
          <w:szCs w:val="21"/>
          <w:highlight w:val="none"/>
        </w:rPr>
        <w:t>乙方</w:t>
      </w:r>
      <w:r>
        <w:rPr>
          <w:rFonts w:hint="eastAsia" w:ascii="宋体"/>
          <w:color w:val="auto"/>
          <w:szCs w:val="21"/>
          <w:highlight w:val="none"/>
          <w:lang w:val="zh-CN"/>
        </w:rPr>
        <w:t>投标文件中列明质量标准和投标时所送样品的质量（交货验收的各项检测数据不得低于样品的各项检测数据），否则将视为不合格而拒收，甲方有权要求</w:t>
      </w:r>
      <w:r>
        <w:rPr>
          <w:rFonts w:hint="eastAsia" w:ascii="宋体"/>
          <w:color w:val="auto"/>
          <w:szCs w:val="21"/>
          <w:highlight w:val="none"/>
        </w:rPr>
        <w:t>乙方</w:t>
      </w:r>
      <w:r>
        <w:rPr>
          <w:rFonts w:hint="eastAsia" w:ascii="宋体"/>
          <w:color w:val="auto"/>
          <w:szCs w:val="21"/>
          <w:highlight w:val="none"/>
          <w:lang w:val="zh-CN"/>
        </w:rPr>
        <w:t>更换合格产品，由此引起的风险由</w:t>
      </w:r>
      <w:r>
        <w:rPr>
          <w:rFonts w:hint="eastAsia" w:ascii="宋体"/>
          <w:color w:val="auto"/>
          <w:szCs w:val="21"/>
          <w:highlight w:val="none"/>
        </w:rPr>
        <w:t>乙方</w:t>
      </w:r>
      <w:r>
        <w:rPr>
          <w:rFonts w:hint="eastAsia" w:ascii="宋体"/>
          <w:color w:val="auto"/>
          <w:szCs w:val="21"/>
          <w:highlight w:val="none"/>
          <w:lang w:val="zh-CN"/>
        </w:rPr>
        <w:t>承担，同时甲方有权终止合同。</w:t>
      </w:r>
    </w:p>
    <w:p>
      <w:pPr>
        <w:autoSpaceDE w:val="0"/>
        <w:autoSpaceDN w:val="0"/>
        <w:adjustRightInd w:val="0"/>
        <w:spacing w:line="360" w:lineRule="auto"/>
        <w:ind w:firstLine="420"/>
        <w:rPr>
          <w:rFonts w:ascii="宋体"/>
          <w:b/>
          <w:bCs/>
          <w:color w:val="auto"/>
          <w:szCs w:val="21"/>
          <w:highlight w:val="none"/>
          <w:lang w:val="zh-CN"/>
        </w:rPr>
      </w:pPr>
      <w:r>
        <w:rPr>
          <w:rFonts w:hint="eastAsia" w:ascii="宋体"/>
          <w:b/>
          <w:bCs/>
          <w:color w:val="auto"/>
          <w:szCs w:val="21"/>
          <w:highlight w:val="none"/>
          <w:lang w:val="zh-CN"/>
        </w:rPr>
        <w:t>第六条交付和验收</w:t>
      </w:r>
    </w:p>
    <w:p>
      <w:pPr>
        <w:autoSpaceDE w:val="0"/>
        <w:autoSpaceDN w:val="0"/>
        <w:adjustRightInd w:val="0"/>
        <w:spacing w:line="360" w:lineRule="auto"/>
        <w:ind w:firstLine="420"/>
        <w:rPr>
          <w:rFonts w:ascii="宋体"/>
          <w:color w:val="auto"/>
          <w:szCs w:val="21"/>
          <w:highlight w:val="none"/>
        </w:rPr>
      </w:pPr>
      <w:r>
        <w:rPr>
          <w:rFonts w:hint="eastAsia" w:ascii="宋体"/>
          <w:color w:val="auto"/>
          <w:szCs w:val="21"/>
          <w:highlight w:val="none"/>
        </w:rPr>
        <w:t>1.乙方应当在</w:t>
      </w:r>
      <w:r>
        <w:rPr>
          <w:rFonts w:hint="eastAsia" w:ascii="宋体"/>
          <w:b/>
          <w:bCs/>
          <w:color w:val="auto"/>
          <w:szCs w:val="21"/>
          <w:highlight w:val="none"/>
        </w:rPr>
        <w:t>甲方规定的时间内</w:t>
      </w:r>
      <w:r>
        <w:rPr>
          <w:rFonts w:hint="eastAsia" w:ascii="宋体"/>
          <w:color w:val="auto"/>
          <w:szCs w:val="21"/>
          <w:highlight w:val="none"/>
        </w:rPr>
        <w:t>将货物送达并安装调试完毕交付甲方正常使用，交货地点：</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color w:val="auto"/>
          <w:szCs w:val="21"/>
          <w:highlight w:val="none"/>
        </w:rPr>
        <w:t xml:space="preserve">。 采购文件有约定的，从其约定。 </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rPr>
        <w:t xml:space="preserve">2.乙方交付的货物应当完全符合本合同或者采购文件所规定的货物、数量和规格要求。乙方提供的 货物不符合采购文件和合同规定的，甲方有权拒收货物，由此引起的风险，由乙方承担。 </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rPr>
        <w:t xml:space="preserve">3.货物的到货验收包括：型号、规格、数量、外观质量、及货物包装是否完好。 </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rPr>
        <w:t xml:space="preserve">4.乙方应将所提供货物的装箱清单、用户手册、原厂保修卡、随机资料及配件、随机工具等交付给甲方；乙方不能完整交付货物及本款规定的单证和工具的，视为未按合同约定交货，乙方负责补齐，因 此导致逾期交付的，由乙方承担相关的违约责任。 </w:t>
      </w:r>
    </w:p>
    <w:p>
      <w:pPr>
        <w:autoSpaceDE w:val="0"/>
        <w:autoSpaceDN w:val="0"/>
        <w:adjustRightInd w:val="0"/>
        <w:spacing w:line="360" w:lineRule="auto"/>
        <w:ind w:firstLine="420"/>
        <w:rPr>
          <w:rFonts w:ascii="宋体"/>
          <w:color w:val="auto"/>
          <w:szCs w:val="21"/>
          <w:highlight w:val="none"/>
          <w:lang w:val="zh-CN"/>
        </w:rPr>
      </w:pPr>
      <w:r>
        <w:rPr>
          <w:rFonts w:hint="eastAsia" w:ascii="宋体"/>
          <w:color w:val="auto"/>
          <w:szCs w:val="21"/>
          <w:highlight w:val="none"/>
        </w:rPr>
        <w:t>5.货物和系统调试验收的标准：按行业通行标准、厂方出厂标准和乙方响应文件的承诺（详见合同 附件载明的标准，并不低于国家相关标准）。</w:t>
      </w:r>
    </w:p>
    <w:p>
      <w:pPr>
        <w:autoSpaceDE w:val="0"/>
        <w:autoSpaceDN w:val="0"/>
        <w:adjustRightInd w:val="0"/>
        <w:spacing w:line="360" w:lineRule="auto"/>
        <w:ind w:firstLine="420"/>
        <w:rPr>
          <w:rFonts w:ascii="宋体"/>
          <w:b/>
          <w:bCs/>
          <w:i/>
          <w:iCs/>
          <w:color w:val="auto"/>
          <w:szCs w:val="21"/>
          <w:highlight w:val="none"/>
          <w:lang w:val="zh-CN"/>
        </w:rPr>
      </w:pPr>
      <w:r>
        <w:rPr>
          <w:rFonts w:hint="eastAsia" w:ascii="宋体"/>
          <w:b/>
          <w:bCs/>
          <w:color w:val="auto"/>
          <w:szCs w:val="21"/>
          <w:highlight w:val="none"/>
          <w:lang w:val="zh-CN"/>
        </w:rPr>
        <w:t>第</w:t>
      </w:r>
      <w:r>
        <w:rPr>
          <w:rFonts w:hint="eastAsia" w:ascii="宋体"/>
          <w:b/>
          <w:bCs/>
          <w:color w:val="auto"/>
          <w:szCs w:val="21"/>
          <w:highlight w:val="none"/>
        </w:rPr>
        <w:t>七</w:t>
      </w:r>
      <w:r>
        <w:rPr>
          <w:rFonts w:hint="eastAsia" w:ascii="宋体"/>
          <w:b/>
          <w:bCs/>
          <w:color w:val="auto"/>
          <w:szCs w:val="21"/>
          <w:highlight w:val="none"/>
          <w:lang w:val="zh-CN"/>
        </w:rPr>
        <w:t>条合同款支付</w:t>
      </w:r>
    </w:p>
    <w:p>
      <w:pPr>
        <w:autoSpaceDE w:val="0"/>
        <w:autoSpaceDN w:val="0"/>
        <w:adjustRightInd w:val="0"/>
        <w:spacing w:line="360" w:lineRule="auto"/>
        <w:ind w:firstLine="420"/>
        <w:rPr>
          <w:rFonts w:ascii="宋体"/>
          <w:color w:val="auto"/>
          <w:szCs w:val="21"/>
          <w:highlight w:val="none"/>
          <w:lang w:val="zh-CN"/>
        </w:rPr>
      </w:pPr>
      <w:r>
        <w:rPr>
          <w:rFonts w:ascii="宋体"/>
          <w:color w:val="auto"/>
          <w:szCs w:val="21"/>
          <w:highlight w:val="none"/>
          <w:lang w:val="zh-CN"/>
        </w:rPr>
        <w:t>1</w:t>
      </w:r>
      <w:r>
        <w:rPr>
          <w:rFonts w:hint="eastAsia" w:ascii="宋体"/>
          <w:color w:val="auto"/>
          <w:szCs w:val="21"/>
          <w:highlight w:val="none"/>
          <w:lang w:val="zh-CN"/>
        </w:rPr>
        <w:t>、本合同项下所有款项均以人民币支付。</w:t>
      </w:r>
    </w:p>
    <w:p>
      <w:pPr>
        <w:autoSpaceDE w:val="0"/>
        <w:autoSpaceDN w:val="0"/>
        <w:adjustRightInd w:val="0"/>
        <w:spacing w:line="360" w:lineRule="auto"/>
        <w:ind w:firstLine="420"/>
        <w:rPr>
          <w:rFonts w:ascii="宋体"/>
          <w:color w:val="auto"/>
          <w:szCs w:val="21"/>
          <w:highlight w:val="none"/>
          <w:lang w:val="zh-CN"/>
        </w:rPr>
      </w:pPr>
      <w:r>
        <w:rPr>
          <w:rFonts w:ascii="宋体"/>
          <w:color w:val="auto"/>
          <w:szCs w:val="21"/>
          <w:highlight w:val="none"/>
          <w:lang w:val="zh-CN"/>
        </w:rPr>
        <w:t>2</w:t>
      </w:r>
      <w:r>
        <w:rPr>
          <w:rFonts w:hint="eastAsia" w:ascii="宋体"/>
          <w:color w:val="auto"/>
          <w:szCs w:val="21"/>
          <w:highlight w:val="none"/>
          <w:lang w:val="zh-CN"/>
        </w:rPr>
        <w:t>、本合同项下的采购资金由甲方自行支付，甲方每次付款前，乙方应向甲方开具等额增值税专用发票。否则，甲方有权拒绝付款。</w:t>
      </w:r>
    </w:p>
    <w:p>
      <w:pPr>
        <w:spacing w:line="360" w:lineRule="auto"/>
        <w:ind w:firstLine="420" w:firstLineChars="200"/>
        <w:jc w:val="left"/>
        <w:rPr>
          <w:rFonts w:ascii="宋体" w:hAnsi="宋体"/>
          <w:b/>
          <w:bCs/>
          <w:color w:val="auto"/>
          <w:szCs w:val="21"/>
          <w:highlight w:val="none"/>
        </w:rPr>
      </w:pPr>
      <w:r>
        <w:rPr>
          <w:rFonts w:hint="eastAsia" w:ascii="宋体" w:hAnsi="宋体"/>
          <w:color w:val="auto"/>
          <w:kern w:val="0"/>
          <w:szCs w:val="21"/>
          <w:highlight w:val="none"/>
          <w:lang w:val="zh-CN"/>
        </w:rPr>
        <w:t>3、设备款</w:t>
      </w:r>
      <w:r>
        <w:rPr>
          <w:rFonts w:ascii="宋体" w:hAnsi="宋体"/>
          <w:color w:val="auto"/>
          <w:szCs w:val="21"/>
          <w:highlight w:val="none"/>
        </w:rPr>
        <w:t>付款周期</w:t>
      </w:r>
    </w:p>
    <w:p>
      <w:pPr>
        <w:autoSpaceDE w:val="0"/>
        <w:autoSpaceDN w:val="0"/>
        <w:adjustRightInd w:val="0"/>
        <w:spacing w:line="360" w:lineRule="auto"/>
        <w:ind w:firstLine="420"/>
        <w:rPr>
          <w:rFonts w:hint="eastAsia" w:ascii="宋体"/>
          <w:color w:val="auto"/>
          <w:szCs w:val="21"/>
          <w:highlight w:val="none"/>
          <w:lang w:val="zh-CN"/>
        </w:rPr>
      </w:pPr>
      <w:r>
        <w:rPr>
          <w:rFonts w:hint="eastAsia" w:ascii="宋体"/>
          <w:color w:val="auto"/>
          <w:szCs w:val="21"/>
          <w:highlight w:val="none"/>
          <w:lang w:val="zh-CN"/>
        </w:rPr>
        <w:t>1、乙方中标后在合同签订前，应提供合同总价10%的履约保证金，按甲方要求汇至指定账户（开户行：中国建设银行南通经济技术开发区支行，帐号： 32001642336052515609，统一社会信用代码：123200004660042577），履约保证金在项目最终验收合格满1年，无息退还乙方合同总价5%的履约保证金，满3年且无质量问题后一次性（无息）退还乙方合同总价5%的履约保证金。</w:t>
      </w:r>
    </w:p>
    <w:p>
      <w:pPr>
        <w:autoSpaceDE w:val="0"/>
        <w:autoSpaceDN w:val="0"/>
        <w:adjustRightInd w:val="0"/>
        <w:spacing w:line="360" w:lineRule="auto"/>
        <w:ind w:firstLine="420"/>
        <w:rPr>
          <w:rFonts w:hint="eastAsia" w:ascii="宋体"/>
          <w:color w:val="auto"/>
          <w:szCs w:val="21"/>
          <w:highlight w:val="none"/>
          <w:lang w:val="zh-CN"/>
        </w:rPr>
      </w:pPr>
      <w:r>
        <w:rPr>
          <w:rFonts w:hint="eastAsia" w:ascii="宋体"/>
          <w:color w:val="auto"/>
          <w:szCs w:val="21"/>
          <w:highlight w:val="none"/>
          <w:lang w:val="zh-CN"/>
        </w:rPr>
        <w:t>2、在签订合同后，甲方支付乙方预付款为合同总价的30%；按要求将货物（设备）送到指定交货地点，货到施工现场，甲方支付合同总价的50%；货物（设备）安装调试结束后，完成当地质量技术监督部门验收合格，甲方组织对设备（系统）进行最终验收，项目最终验收合格后（以甲方签发终验收合格证书为准），甲方向乙方支付合同总价的20%。</w:t>
      </w:r>
    </w:p>
    <w:p>
      <w:pPr>
        <w:autoSpaceDE w:val="0"/>
        <w:autoSpaceDN w:val="0"/>
        <w:adjustRightInd w:val="0"/>
        <w:spacing w:line="360" w:lineRule="auto"/>
        <w:ind w:firstLine="420"/>
        <w:rPr>
          <w:rFonts w:hint="eastAsia" w:ascii="宋体"/>
          <w:color w:val="auto"/>
          <w:szCs w:val="21"/>
          <w:highlight w:val="none"/>
          <w:lang w:val="zh-CN"/>
        </w:rPr>
      </w:pPr>
      <w:r>
        <w:rPr>
          <w:rFonts w:hint="eastAsia" w:ascii="宋体"/>
          <w:color w:val="auto"/>
          <w:szCs w:val="21"/>
          <w:highlight w:val="none"/>
          <w:lang w:val="zh-CN"/>
        </w:rPr>
        <w:t>3、每次付款前乙方须提供付合甲方财务要求的正式增值税专用发票，否则甲方有权拒绝支付合同款，而不承担违约责任。</w:t>
      </w:r>
    </w:p>
    <w:p>
      <w:pPr>
        <w:autoSpaceDE w:val="0"/>
        <w:autoSpaceDN w:val="0"/>
        <w:adjustRightInd w:val="0"/>
        <w:spacing w:line="360" w:lineRule="auto"/>
        <w:ind w:firstLine="420"/>
        <w:rPr>
          <w:rFonts w:ascii="宋体"/>
          <w:b/>
          <w:bCs/>
          <w:color w:val="auto"/>
          <w:szCs w:val="21"/>
          <w:highlight w:val="none"/>
          <w:lang w:val="zh-CN"/>
        </w:rPr>
      </w:pPr>
      <w:r>
        <w:rPr>
          <w:rFonts w:hint="eastAsia" w:ascii="宋体"/>
          <w:b/>
          <w:bCs/>
          <w:color w:val="auto"/>
          <w:szCs w:val="21"/>
          <w:highlight w:val="none"/>
          <w:lang w:val="zh-CN"/>
        </w:rPr>
        <w:t>第</w:t>
      </w:r>
      <w:r>
        <w:rPr>
          <w:rFonts w:hint="eastAsia" w:ascii="宋体"/>
          <w:b/>
          <w:bCs/>
          <w:color w:val="auto"/>
          <w:szCs w:val="21"/>
          <w:highlight w:val="none"/>
        </w:rPr>
        <w:t>八</w:t>
      </w:r>
      <w:r>
        <w:rPr>
          <w:rFonts w:hint="eastAsia" w:ascii="宋体"/>
          <w:b/>
          <w:bCs/>
          <w:color w:val="auto"/>
          <w:szCs w:val="21"/>
          <w:highlight w:val="none"/>
          <w:lang w:val="zh-CN"/>
        </w:rPr>
        <w:t>条 违约责任</w:t>
      </w:r>
    </w:p>
    <w:p>
      <w:pPr>
        <w:adjustRightInd w:val="0"/>
        <w:spacing w:line="360" w:lineRule="auto"/>
        <w:ind w:firstLine="420"/>
        <w:rPr>
          <w:rFonts w:ascii="宋体" w:cs="宋体"/>
          <w:color w:val="auto"/>
          <w:kern w:val="0"/>
          <w:szCs w:val="21"/>
          <w:highlight w:val="none"/>
          <w:lang w:val="zh-CN"/>
        </w:rPr>
      </w:pPr>
      <w:r>
        <w:rPr>
          <w:rFonts w:hint="eastAsia" w:ascii="宋体" w:hAnsi="宋体" w:cs="宋体"/>
          <w:color w:val="auto"/>
          <w:kern w:val="0"/>
          <w:szCs w:val="21"/>
          <w:highlight w:val="none"/>
          <w:lang w:val="zh-CN"/>
        </w:rPr>
        <w:t>１、甲方无正当理由拒收服务、拒付服务款的，由甲方向乙方偿付合同总价的</w:t>
      </w:r>
      <w:r>
        <w:rPr>
          <w:rFonts w:ascii="宋体" w:hAnsi="宋体" w:cs="宋体"/>
          <w:color w:val="auto"/>
          <w:kern w:val="0"/>
          <w:szCs w:val="21"/>
          <w:highlight w:val="none"/>
          <w:lang w:val="zh-CN"/>
        </w:rPr>
        <w:t>5%</w:t>
      </w:r>
      <w:r>
        <w:rPr>
          <w:rFonts w:hint="eastAsia" w:ascii="宋体" w:hAnsi="宋体" w:cs="宋体"/>
          <w:color w:val="auto"/>
          <w:kern w:val="0"/>
          <w:szCs w:val="21"/>
          <w:highlight w:val="none"/>
          <w:lang w:val="zh-CN"/>
        </w:rPr>
        <w:t>违约金。</w:t>
      </w:r>
    </w:p>
    <w:p>
      <w:pPr>
        <w:adjustRightInd w:val="0"/>
        <w:spacing w:line="360" w:lineRule="auto"/>
        <w:ind w:firstLine="420"/>
        <w:rPr>
          <w:rFonts w:ascii="宋体" w:cs="宋体"/>
          <w:color w:val="auto"/>
          <w:kern w:val="0"/>
          <w:szCs w:val="21"/>
          <w:highlight w:val="none"/>
          <w:lang w:val="zh-CN"/>
        </w:rPr>
      </w:pPr>
      <w:r>
        <w:rPr>
          <w:rFonts w:hint="eastAsia" w:ascii="宋体" w:hAnsi="宋体" w:cs="宋体"/>
          <w:color w:val="auto"/>
          <w:kern w:val="0"/>
          <w:szCs w:val="21"/>
          <w:highlight w:val="none"/>
          <w:lang w:val="zh-CN"/>
        </w:rPr>
        <w:t>２、甲方未按合同规定的期限向乙方支付合同价款的，每逾期</w:t>
      </w:r>
      <w:r>
        <w:rPr>
          <w:rFonts w:ascii="宋体" w:hAnsi="宋体" w:cs="宋体"/>
          <w:color w:val="auto"/>
          <w:kern w:val="0"/>
          <w:szCs w:val="21"/>
          <w:highlight w:val="none"/>
          <w:lang w:val="zh-CN"/>
        </w:rPr>
        <w:t>1</w:t>
      </w:r>
      <w:r>
        <w:rPr>
          <w:rFonts w:hint="eastAsia" w:ascii="宋体" w:hAnsi="宋体" w:cs="宋体"/>
          <w:color w:val="auto"/>
          <w:kern w:val="0"/>
          <w:szCs w:val="21"/>
          <w:highlight w:val="none"/>
          <w:lang w:val="zh-CN"/>
        </w:rPr>
        <w:t>天甲方向乙方偿付欠款总额的</w:t>
      </w:r>
      <w:r>
        <w:rPr>
          <w:rFonts w:ascii="宋体" w:hAnsi="宋体" w:cs="宋体"/>
          <w:color w:val="auto"/>
          <w:kern w:val="0"/>
          <w:szCs w:val="21"/>
          <w:highlight w:val="none"/>
          <w:lang w:val="zh-CN"/>
        </w:rPr>
        <w:t>5</w:t>
      </w:r>
      <w:r>
        <w:rPr>
          <w:rFonts w:hint="eastAsia" w:ascii="宋体" w:hAnsi="宋体" w:cs="宋体"/>
          <w:color w:val="auto"/>
          <w:kern w:val="0"/>
          <w:szCs w:val="21"/>
          <w:highlight w:val="none"/>
          <w:lang w:val="zh-CN"/>
        </w:rPr>
        <w:t>‰滞纳金，但累计滞纳金总额不超过欠款总额的</w:t>
      </w:r>
      <w:r>
        <w:rPr>
          <w:rFonts w:ascii="宋体" w:hAnsi="宋体" w:cs="宋体"/>
          <w:color w:val="auto"/>
          <w:kern w:val="0"/>
          <w:szCs w:val="21"/>
          <w:highlight w:val="none"/>
          <w:lang w:val="zh-CN"/>
        </w:rPr>
        <w:t xml:space="preserve">5% </w:t>
      </w:r>
      <w:r>
        <w:rPr>
          <w:rFonts w:hint="eastAsia" w:ascii="宋体" w:hAnsi="宋体" w:cs="宋体"/>
          <w:color w:val="auto"/>
          <w:kern w:val="0"/>
          <w:szCs w:val="21"/>
          <w:highlight w:val="none"/>
          <w:lang w:val="zh-CN"/>
        </w:rPr>
        <w:t>。</w:t>
      </w:r>
    </w:p>
    <w:p>
      <w:pPr>
        <w:adjustRightInd w:val="0"/>
        <w:spacing w:line="360" w:lineRule="auto"/>
        <w:ind w:firstLine="420"/>
        <w:rPr>
          <w:rFonts w:ascii="宋体" w:cs="宋体"/>
          <w:color w:val="auto"/>
          <w:kern w:val="0"/>
          <w:szCs w:val="21"/>
          <w:highlight w:val="none"/>
          <w:lang w:val="zh-CN"/>
        </w:rPr>
      </w:pPr>
      <w:r>
        <w:rPr>
          <w:rFonts w:hint="eastAsia" w:ascii="宋体" w:hAnsi="宋体" w:cs="宋体"/>
          <w:color w:val="auto"/>
          <w:kern w:val="0"/>
          <w:szCs w:val="21"/>
          <w:highlight w:val="none"/>
          <w:lang w:val="zh-CN"/>
        </w:rPr>
        <w:t>３、如乙方不能交付服务、完成安装调试的，乙方应向甲方支付合同总价</w:t>
      </w:r>
      <w:r>
        <w:rPr>
          <w:rFonts w:ascii="宋体" w:hAnsi="宋体" w:cs="宋体"/>
          <w:color w:val="auto"/>
          <w:kern w:val="0"/>
          <w:szCs w:val="21"/>
          <w:highlight w:val="none"/>
          <w:lang w:val="zh-CN"/>
        </w:rPr>
        <w:t>5%</w:t>
      </w:r>
      <w:r>
        <w:rPr>
          <w:rFonts w:hint="eastAsia" w:ascii="宋体" w:hAnsi="宋体" w:cs="宋体"/>
          <w:color w:val="auto"/>
          <w:kern w:val="0"/>
          <w:szCs w:val="21"/>
          <w:highlight w:val="none"/>
          <w:lang w:val="zh-CN"/>
        </w:rPr>
        <w:t>的违约金。</w:t>
      </w:r>
    </w:p>
    <w:p>
      <w:pPr>
        <w:adjustRightInd w:val="0"/>
        <w:spacing w:line="360" w:lineRule="auto"/>
        <w:ind w:firstLine="420"/>
        <w:rPr>
          <w:rFonts w:ascii="宋体" w:cs="宋体"/>
          <w:color w:val="auto"/>
          <w:kern w:val="0"/>
          <w:szCs w:val="21"/>
          <w:highlight w:val="none"/>
          <w:lang w:val="zh-CN"/>
        </w:rPr>
      </w:pPr>
      <w:r>
        <w:rPr>
          <w:rFonts w:hint="eastAsia" w:ascii="宋体" w:hAnsi="宋体" w:cs="宋体"/>
          <w:color w:val="auto"/>
          <w:kern w:val="0"/>
          <w:szCs w:val="21"/>
          <w:highlight w:val="none"/>
          <w:lang w:val="zh-CN"/>
        </w:rPr>
        <w:t>４、乙方逾期交付的，每逾期</w:t>
      </w:r>
      <w:r>
        <w:rPr>
          <w:rFonts w:ascii="宋体" w:hAnsi="宋体" w:cs="宋体"/>
          <w:color w:val="auto"/>
          <w:kern w:val="0"/>
          <w:szCs w:val="21"/>
          <w:highlight w:val="none"/>
          <w:lang w:val="zh-CN"/>
        </w:rPr>
        <w:t>1</w:t>
      </w:r>
      <w:r>
        <w:rPr>
          <w:rFonts w:hint="eastAsia" w:ascii="宋体" w:hAnsi="宋体" w:cs="宋体"/>
          <w:color w:val="auto"/>
          <w:kern w:val="0"/>
          <w:szCs w:val="21"/>
          <w:highlight w:val="none"/>
          <w:lang w:val="zh-CN"/>
        </w:rPr>
        <w:t>天，乙方向甲方偿付合同总额的</w:t>
      </w:r>
      <w:r>
        <w:rPr>
          <w:rFonts w:ascii="宋体" w:hAnsi="宋体" w:cs="宋体"/>
          <w:color w:val="auto"/>
          <w:kern w:val="0"/>
          <w:szCs w:val="21"/>
          <w:highlight w:val="none"/>
          <w:lang w:val="zh-CN"/>
        </w:rPr>
        <w:t>5</w:t>
      </w:r>
      <w:r>
        <w:rPr>
          <w:rFonts w:hint="eastAsia" w:ascii="宋体" w:hAnsi="宋体" w:cs="宋体"/>
          <w:color w:val="auto"/>
          <w:kern w:val="0"/>
          <w:szCs w:val="21"/>
          <w:highlight w:val="none"/>
          <w:lang w:val="zh-CN"/>
        </w:rPr>
        <w:t>‰的滞纳金。如乙方逾期交付达</w:t>
      </w:r>
      <w:r>
        <w:rPr>
          <w:rFonts w:ascii="宋体" w:hAnsi="宋体" w:cs="宋体"/>
          <w:color w:val="auto"/>
          <w:kern w:val="0"/>
          <w:szCs w:val="21"/>
          <w:highlight w:val="none"/>
          <w:lang w:val="zh-CN"/>
        </w:rPr>
        <w:t>10</w:t>
      </w:r>
      <w:r>
        <w:rPr>
          <w:rFonts w:hint="eastAsia" w:ascii="宋体" w:hAnsi="宋体" w:cs="宋体"/>
          <w:color w:val="auto"/>
          <w:kern w:val="0"/>
          <w:szCs w:val="21"/>
          <w:highlight w:val="none"/>
          <w:lang w:val="zh-CN"/>
        </w:rPr>
        <w:t>天，甲方有权解除合同，</w:t>
      </w:r>
      <w:r>
        <w:rPr>
          <w:rFonts w:hint="eastAsia" w:ascii="宋体" w:hAnsi="宋体"/>
          <w:color w:val="auto"/>
          <w:highlight w:val="none"/>
        </w:rPr>
        <w:t>且有权要求乙方支付合同总额</w:t>
      </w:r>
      <w:r>
        <w:rPr>
          <w:rFonts w:ascii="宋体" w:hAnsi="宋体"/>
          <w:color w:val="auto"/>
          <w:highlight w:val="none"/>
        </w:rPr>
        <w:t>5%</w:t>
      </w:r>
      <w:r>
        <w:rPr>
          <w:rFonts w:hint="eastAsia" w:ascii="宋体" w:hAnsi="宋体"/>
          <w:color w:val="auto"/>
          <w:highlight w:val="none"/>
        </w:rPr>
        <w:t>的违约金。</w:t>
      </w:r>
      <w:r>
        <w:rPr>
          <w:rFonts w:hint="eastAsia" w:ascii="宋体" w:hAnsi="宋体" w:cs="宋体"/>
          <w:color w:val="auto"/>
          <w:kern w:val="0"/>
          <w:szCs w:val="21"/>
          <w:highlight w:val="none"/>
          <w:lang w:val="zh-CN"/>
        </w:rPr>
        <w:t>甲方有权解除合同，解除合同的通知自到达乙方时生效。</w:t>
      </w:r>
    </w:p>
    <w:p>
      <w:pPr>
        <w:adjustRightInd w:val="0"/>
        <w:spacing w:line="360" w:lineRule="auto"/>
        <w:ind w:firstLine="420"/>
        <w:rPr>
          <w:rFonts w:ascii="宋体" w:cs="宋体"/>
          <w:color w:val="auto"/>
          <w:kern w:val="0"/>
          <w:szCs w:val="21"/>
          <w:highlight w:val="none"/>
          <w:lang w:val="zh-CN"/>
        </w:rPr>
      </w:pPr>
      <w:r>
        <w:rPr>
          <w:rFonts w:hint="eastAsia" w:ascii="宋体" w:hAnsi="宋体" w:cs="宋体"/>
          <w:color w:val="auto"/>
          <w:kern w:val="0"/>
          <w:szCs w:val="21"/>
          <w:highlight w:val="none"/>
          <w:lang w:val="zh-CN"/>
        </w:rPr>
        <w:t>５、乙方所交付的服务不符合合同规定的，甲方有权拒收</w:t>
      </w:r>
      <w:r>
        <w:rPr>
          <w:rFonts w:hint="eastAsia" w:ascii="宋体" w:hAnsi="宋体"/>
          <w:color w:val="auto"/>
          <w:szCs w:val="21"/>
          <w:highlight w:val="none"/>
        </w:rPr>
        <w:t>且甲方有权不予支付未付合同价款</w:t>
      </w:r>
      <w:r>
        <w:rPr>
          <w:rFonts w:hint="eastAsia" w:ascii="宋体" w:hAnsi="宋体" w:cs="宋体"/>
          <w:color w:val="auto"/>
          <w:kern w:val="0"/>
          <w:szCs w:val="21"/>
          <w:highlight w:val="none"/>
          <w:lang w:val="zh-CN"/>
        </w:rPr>
        <w:t>。甲方拒收的，乙方应向甲方支付合同总款</w:t>
      </w:r>
      <w:r>
        <w:rPr>
          <w:rFonts w:ascii="宋体" w:hAnsi="宋体" w:cs="宋体"/>
          <w:color w:val="auto"/>
          <w:kern w:val="0"/>
          <w:szCs w:val="21"/>
          <w:highlight w:val="none"/>
          <w:lang w:val="zh-CN"/>
        </w:rPr>
        <w:t>5%</w:t>
      </w:r>
      <w:r>
        <w:rPr>
          <w:rFonts w:hint="eastAsia" w:ascii="宋体" w:hAnsi="宋体" w:cs="宋体"/>
          <w:color w:val="auto"/>
          <w:kern w:val="0"/>
          <w:szCs w:val="21"/>
          <w:highlight w:val="none"/>
          <w:lang w:val="zh-CN"/>
        </w:rPr>
        <w:t>的违约金。甲方未拒收的，采购代理机构发现后将向有关部门反映，并责成乙方按照采购结果提供服务，同时</w:t>
      </w:r>
      <w:r>
        <w:rPr>
          <w:rFonts w:hint="eastAsia" w:ascii="宋体" w:hAnsi="宋体" w:cs="宋体"/>
          <w:color w:val="auto"/>
          <w:kern w:val="0"/>
          <w:szCs w:val="21"/>
          <w:highlight w:val="none"/>
        </w:rPr>
        <w:t>可要求乙方向甲方支付合同总款5%的违约金。</w:t>
      </w:r>
    </w:p>
    <w:p>
      <w:pPr>
        <w:adjustRightInd w:val="0"/>
        <w:spacing w:line="360" w:lineRule="auto"/>
        <w:ind w:firstLine="420"/>
        <w:rPr>
          <w:rFonts w:ascii="宋体" w:cs="宋体"/>
          <w:color w:val="auto"/>
          <w:kern w:val="0"/>
          <w:szCs w:val="21"/>
          <w:highlight w:val="none"/>
          <w:lang w:val="zh-CN"/>
        </w:rPr>
      </w:pPr>
      <w:r>
        <w:rPr>
          <w:rFonts w:hint="eastAsia" w:ascii="宋体" w:hAnsi="宋体" w:cs="宋体"/>
          <w:color w:val="auto"/>
          <w:kern w:val="0"/>
          <w:szCs w:val="21"/>
          <w:highlight w:val="none"/>
          <w:lang w:val="zh-CN"/>
        </w:rPr>
        <w:t>６、在乙方承诺的或国家规定的</w:t>
      </w:r>
      <w:r>
        <w:rPr>
          <w:rFonts w:hint="eastAsia" w:ascii="宋体" w:hAnsi="宋体" w:cs="宋体"/>
          <w:b/>
          <w:color w:val="auto"/>
          <w:kern w:val="0"/>
          <w:szCs w:val="21"/>
          <w:highlight w:val="none"/>
          <w:lang w:val="zh-CN"/>
        </w:rPr>
        <w:t>质量保证期内</w:t>
      </w:r>
      <w:r>
        <w:rPr>
          <w:rFonts w:hint="eastAsia" w:ascii="宋体" w:hAnsi="宋体" w:cs="宋体"/>
          <w:color w:val="auto"/>
          <w:kern w:val="0"/>
          <w:szCs w:val="21"/>
          <w:highlight w:val="none"/>
          <w:lang w:val="zh-CN"/>
        </w:rPr>
        <w:t>（取两者中最长的期限），如经乙方两次整改仍不能达到合同约定的质量标准或者乙方拒不整改，乙方应退回全部合同价款，并按</w:t>
      </w:r>
      <w:r>
        <w:rPr>
          <w:rFonts w:hint="eastAsia" w:ascii="宋体" w:hAnsi="宋体" w:cs="宋体"/>
          <w:color w:val="auto"/>
          <w:kern w:val="0"/>
          <w:szCs w:val="21"/>
          <w:highlight w:val="none"/>
        </w:rPr>
        <w:t>本条</w:t>
      </w:r>
      <w:r>
        <w:rPr>
          <w:rFonts w:hint="eastAsia" w:ascii="宋体" w:hAnsi="宋体" w:cs="宋体"/>
          <w:color w:val="auto"/>
          <w:kern w:val="0"/>
          <w:szCs w:val="21"/>
          <w:highlight w:val="none"/>
          <w:lang w:val="zh-CN"/>
        </w:rPr>
        <w:t>第</w:t>
      </w:r>
      <w:r>
        <w:rPr>
          <w:rFonts w:ascii="宋体" w:hAnsi="宋体" w:cs="宋体"/>
          <w:color w:val="auto"/>
          <w:kern w:val="0"/>
          <w:szCs w:val="21"/>
          <w:highlight w:val="none"/>
          <w:lang w:val="zh-CN"/>
        </w:rPr>
        <w:t>3</w:t>
      </w:r>
      <w:r>
        <w:rPr>
          <w:rFonts w:hint="eastAsia" w:ascii="宋体" w:hAnsi="宋体" w:cs="宋体"/>
          <w:color w:val="auto"/>
          <w:kern w:val="0"/>
          <w:szCs w:val="21"/>
          <w:highlight w:val="none"/>
          <w:lang w:val="zh-CN"/>
        </w:rPr>
        <w:t>款处理，同时，乙方还须赔偿甲方因此遭受的损失。</w:t>
      </w:r>
    </w:p>
    <w:p>
      <w:pPr>
        <w:adjustRightInd w:val="0"/>
        <w:spacing w:line="360" w:lineRule="auto"/>
        <w:ind w:firstLine="420"/>
        <w:rPr>
          <w:rFonts w:ascii="宋体" w:cs="宋体"/>
          <w:color w:val="auto"/>
          <w:kern w:val="0"/>
          <w:szCs w:val="21"/>
          <w:highlight w:val="none"/>
          <w:lang w:val="zh-CN"/>
        </w:rPr>
      </w:pPr>
      <w:r>
        <w:rPr>
          <w:rFonts w:ascii="宋体" w:hAnsi="宋体" w:cs="宋体"/>
          <w:color w:val="auto"/>
          <w:kern w:val="0"/>
          <w:szCs w:val="21"/>
          <w:highlight w:val="none"/>
          <w:lang w:val="zh-CN"/>
        </w:rPr>
        <w:t>7</w:t>
      </w:r>
      <w:r>
        <w:rPr>
          <w:rFonts w:hint="eastAsia" w:ascii="宋体" w:hAnsi="宋体" w:cs="宋体"/>
          <w:color w:val="auto"/>
          <w:kern w:val="0"/>
          <w:szCs w:val="21"/>
          <w:highlight w:val="none"/>
          <w:lang w:val="zh-CN"/>
        </w:rPr>
        <w:t>、乙方未按本合同的规定和“服务承诺”提供伴随服务</w:t>
      </w:r>
      <w:r>
        <w:rPr>
          <w:rFonts w:ascii="宋体" w:hAnsi="宋体" w:cs="宋体"/>
          <w:color w:val="auto"/>
          <w:kern w:val="0"/>
          <w:szCs w:val="21"/>
          <w:highlight w:val="none"/>
          <w:lang w:val="zh-CN"/>
        </w:rPr>
        <w:t>/</w:t>
      </w:r>
      <w:r>
        <w:rPr>
          <w:rFonts w:hint="eastAsia" w:ascii="宋体" w:hAnsi="宋体" w:cs="宋体"/>
          <w:color w:val="auto"/>
          <w:kern w:val="0"/>
          <w:szCs w:val="21"/>
          <w:highlight w:val="none"/>
          <w:lang w:val="zh-CN"/>
        </w:rPr>
        <w:t>售后服务的，应按合同总价款的</w:t>
      </w:r>
      <w:r>
        <w:rPr>
          <w:rFonts w:ascii="宋体" w:hAnsi="宋体" w:cs="宋体"/>
          <w:color w:val="auto"/>
          <w:kern w:val="0"/>
          <w:szCs w:val="21"/>
          <w:highlight w:val="none"/>
          <w:lang w:val="zh-CN"/>
        </w:rPr>
        <w:t>5 %</w:t>
      </w:r>
      <w:r>
        <w:rPr>
          <w:rFonts w:hint="eastAsia" w:ascii="宋体" w:hAnsi="宋体" w:cs="宋体"/>
          <w:color w:val="auto"/>
          <w:kern w:val="0"/>
          <w:szCs w:val="21"/>
          <w:highlight w:val="none"/>
          <w:lang w:val="zh-CN"/>
        </w:rPr>
        <w:t>向甲方承担违约责任。</w:t>
      </w:r>
    </w:p>
    <w:p>
      <w:pPr>
        <w:adjustRightInd w:val="0"/>
        <w:spacing w:line="360" w:lineRule="auto"/>
        <w:ind w:firstLine="420"/>
        <w:rPr>
          <w:rFonts w:ascii="宋体" w:cs="宋体"/>
          <w:color w:val="auto"/>
          <w:kern w:val="0"/>
          <w:szCs w:val="21"/>
          <w:highlight w:val="none"/>
          <w:lang w:val="zh-CN"/>
        </w:rPr>
      </w:pPr>
      <w:r>
        <w:rPr>
          <w:rFonts w:ascii="宋体" w:hAnsi="宋体" w:cs="宋体"/>
          <w:color w:val="auto"/>
          <w:kern w:val="0"/>
          <w:szCs w:val="21"/>
          <w:highlight w:val="none"/>
          <w:lang w:val="zh-CN"/>
        </w:rPr>
        <w:t>8</w:t>
      </w:r>
      <w:r>
        <w:rPr>
          <w:rFonts w:hint="eastAsia" w:ascii="宋体" w:hAnsi="宋体" w:cs="宋体"/>
          <w:color w:val="auto"/>
          <w:kern w:val="0"/>
          <w:szCs w:val="21"/>
          <w:highlight w:val="none"/>
          <w:lang w:val="zh-CN"/>
        </w:rPr>
        <w:t>、乙方在承担上述</w:t>
      </w:r>
      <w:r>
        <w:rPr>
          <w:rFonts w:ascii="宋体" w:hAnsi="宋体" w:cs="宋体"/>
          <w:color w:val="auto"/>
          <w:kern w:val="0"/>
          <w:szCs w:val="21"/>
          <w:highlight w:val="none"/>
          <w:lang w:val="zh-CN"/>
        </w:rPr>
        <w:t>3-7</w:t>
      </w:r>
      <w:r>
        <w:rPr>
          <w:rFonts w:hint="eastAsia" w:ascii="宋体" w:hAnsi="宋体" w:cs="宋体"/>
          <w:color w:val="auto"/>
          <w:kern w:val="0"/>
          <w:szCs w:val="21"/>
          <w:highlight w:val="none"/>
          <w:lang w:val="zh-CN"/>
        </w:rPr>
        <w:t>款一项或多项违约责任后，仍应继续履行合同规定的义务（甲方解除合同的除外）。甲方未能及时追究乙方的任何一项违约责任并不表明甲方放弃追究乙方该项或其他违约责任。</w:t>
      </w:r>
    </w:p>
    <w:p>
      <w:pPr>
        <w:adjustRightInd w:val="0"/>
        <w:spacing w:line="360" w:lineRule="auto"/>
        <w:ind w:firstLine="420"/>
        <w:rPr>
          <w:rFonts w:ascii="宋体" w:hAnsi="宋体" w:cs="宋体"/>
          <w:color w:val="auto"/>
          <w:kern w:val="0"/>
          <w:szCs w:val="21"/>
          <w:highlight w:val="none"/>
          <w:lang w:val="zh-CN"/>
        </w:rPr>
      </w:pPr>
      <w:r>
        <w:rPr>
          <w:rFonts w:ascii="宋体" w:hAnsi="宋体" w:cs="宋体"/>
          <w:color w:val="auto"/>
          <w:kern w:val="0"/>
          <w:szCs w:val="21"/>
          <w:highlight w:val="none"/>
          <w:lang w:val="zh-CN"/>
        </w:rPr>
        <w:t>9</w:t>
      </w:r>
      <w:r>
        <w:rPr>
          <w:rFonts w:hint="eastAsia" w:ascii="宋体" w:hAnsi="宋体" w:cs="宋体"/>
          <w:color w:val="auto"/>
          <w:kern w:val="0"/>
          <w:szCs w:val="21"/>
          <w:highlight w:val="none"/>
          <w:lang w:val="zh-CN"/>
        </w:rPr>
        <w:t>、乙方投标属虚假承诺，或经权威部门监测提供的服务不能满足招标文件要求，或是由于乙方的过错造成合同无法继续履行的，乙方履约保证金不予退还外，还应向甲方支付不少于合同总价</w:t>
      </w:r>
      <w:r>
        <w:rPr>
          <w:rFonts w:ascii="宋体" w:hAnsi="宋体" w:cs="宋体"/>
          <w:color w:val="auto"/>
          <w:kern w:val="0"/>
          <w:szCs w:val="21"/>
          <w:highlight w:val="none"/>
          <w:lang w:val="zh-CN"/>
        </w:rPr>
        <w:t>30%</w:t>
      </w:r>
      <w:r>
        <w:rPr>
          <w:rFonts w:hint="eastAsia" w:ascii="宋体" w:hAnsi="宋体" w:cs="宋体"/>
          <w:color w:val="auto"/>
          <w:kern w:val="0"/>
          <w:szCs w:val="21"/>
          <w:highlight w:val="none"/>
          <w:lang w:val="zh-CN"/>
        </w:rPr>
        <w:t>赔偿金。</w:t>
      </w:r>
    </w:p>
    <w:p>
      <w:pPr>
        <w:adjustRightInd w:val="0"/>
        <w:spacing w:line="360" w:lineRule="auto"/>
        <w:ind w:firstLine="420"/>
        <w:rPr>
          <w:rFonts w:ascii="宋体" w:cs="宋体"/>
          <w:b/>
          <w:bCs/>
          <w:color w:val="auto"/>
          <w:kern w:val="0"/>
          <w:szCs w:val="21"/>
          <w:highlight w:val="none"/>
          <w:lang w:val="zh-CN"/>
        </w:rPr>
      </w:pPr>
      <w:r>
        <w:rPr>
          <w:rFonts w:hint="eastAsia" w:ascii="宋体" w:hAnsi="宋体" w:cs="宋体"/>
          <w:b/>
          <w:bCs/>
          <w:color w:val="auto"/>
          <w:kern w:val="0"/>
          <w:szCs w:val="21"/>
          <w:highlight w:val="none"/>
          <w:lang w:val="zh-CN"/>
        </w:rPr>
        <w:t>第</w:t>
      </w:r>
      <w:r>
        <w:rPr>
          <w:rFonts w:hint="eastAsia" w:ascii="宋体" w:hAnsi="宋体" w:cs="宋体"/>
          <w:b/>
          <w:bCs/>
          <w:color w:val="auto"/>
          <w:kern w:val="0"/>
          <w:szCs w:val="21"/>
          <w:highlight w:val="none"/>
        </w:rPr>
        <w:t>九</w:t>
      </w:r>
      <w:r>
        <w:rPr>
          <w:rFonts w:hint="eastAsia" w:ascii="宋体" w:hAnsi="宋体" w:cs="宋体"/>
          <w:b/>
          <w:bCs/>
          <w:color w:val="auto"/>
          <w:kern w:val="0"/>
          <w:szCs w:val="21"/>
          <w:highlight w:val="none"/>
          <w:lang w:val="zh-CN"/>
        </w:rPr>
        <w:t>条合同的变更和终止</w:t>
      </w:r>
    </w:p>
    <w:p>
      <w:pPr>
        <w:adjustRightInd w:val="0"/>
        <w:spacing w:line="360" w:lineRule="auto"/>
        <w:ind w:firstLine="420" w:firstLineChars="200"/>
        <w:rPr>
          <w:rFonts w:ascii="宋体" w:cs="宋体"/>
          <w:color w:val="auto"/>
          <w:kern w:val="0"/>
          <w:szCs w:val="21"/>
          <w:highlight w:val="none"/>
          <w:lang w:val="zh-CN"/>
        </w:rPr>
      </w:pPr>
      <w:r>
        <w:rPr>
          <w:rFonts w:ascii="宋体" w:hAnsi="宋体"/>
          <w:color w:val="auto"/>
          <w:kern w:val="0"/>
          <w:szCs w:val="21"/>
          <w:highlight w:val="none"/>
          <w:lang w:val="zh-CN"/>
        </w:rPr>
        <w:t>1</w:t>
      </w:r>
      <w:r>
        <w:rPr>
          <w:rFonts w:hint="eastAsia" w:ascii="宋体" w:hAnsi="宋体" w:cs="宋体"/>
          <w:color w:val="auto"/>
          <w:kern w:val="0"/>
          <w:szCs w:val="21"/>
          <w:highlight w:val="none"/>
          <w:lang w:val="zh-CN"/>
        </w:rPr>
        <w:t>、本合同一经签订，甲乙双方不得擅自变更、中止或终止合同。</w:t>
      </w:r>
    </w:p>
    <w:p>
      <w:pPr>
        <w:adjustRightInd w:val="0"/>
        <w:spacing w:line="360" w:lineRule="auto"/>
        <w:ind w:firstLine="420" w:firstLineChars="200"/>
        <w:rPr>
          <w:rFonts w:ascii="宋体" w:cs="宋体"/>
          <w:color w:val="auto"/>
          <w:kern w:val="0"/>
          <w:szCs w:val="21"/>
          <w:highlight w:val="none"/>
          <w:lang w:val="zh-CN"/>
        </w:rPr>
      </w:pPr>
      <w:r>
        <w:rPr>
          <w:rFonts w:ascii="宋体" w:hAnsi="宋体"/>
          <w:color w:val="auto"/>
          <w:kern w:val="0"/>
          <w:szCs w:val="21"/>
          <w:highlight w:val="none"/>
          <w:lang w:val="zh-CN"/>
        </w:rPr>
        <w:t>2</w:t>
      </w:r>
      <w:r>
        <w:rPr>
          <w:rFonts w:hint="eastAsia" w:ascii="宋体" w:hAnsi="宋体" w:cs="宋体"/>
          <w:color w:val="auto"/>
          <w:kern w:val="0"/>
          <w:szCs w:val="21"/>
          <w:highlight w:val="none"/>
          <w:lang w:val="zh-CN"/>
        </w:rPr>
        <w:t>、</w:t>
      </w:r>
      <w:r>
        <w:rPr>
          <w:rFonts w:hint="eastAsia" w:ascii="宋体" w:hAnsi="宋体" w:cs="宋体"/>
          <w:color w:val="auto"/>
          <w:kern w:val="0"/>
          <w:szCs w:val="21"/>
          <w:highlight w:val="none"/>
        </w:rPr>
        <w:t>除发生法律规定的不能预见、不能避免并不能克服的客观情况外，甲乙双方不得放弃或拒绝履行合同。乙方放弃或拒绝履行合同，保证金不予退还。</w:t>
      </w:r>
    </w:p>
    <w:p>
      <w:pPr>
        <w:adjustRightInd w:val="0"/>
        <w:spacing w:line="360" w:lineRule="auto"/>
        <w:ind w:firstLine="420"/>
        <w:rPr>
          <w:rFonts w:ascii="宋体" w:cs="宋体"/>
          <w:b/>
          <w:bCs/>
          <w:color w:val="auto"/>
          <w:kern w:val="0"/>
          <w:szCs w:val="21"/>
          <w:highlight w:val="none"/>
          <w:lang w:val="zh-CN"/>
        </w:rPr>
      </w:pPr>
      <w:r>
        <w:rPr>
          <w:rFonts w:hint="eastAsia" w:ascii="宋体" w:hAnsi="宋体" w:cs="宋体"/>
          <w:b/>
          <w:bCs/>
          <w:color w:val="auto"/>
          <w:kern w:val="0"/>
          <w:szCs w:val="21"/>
          <w:highlight w:val="none"/>
          <w:lang w:val="zh-CN"/>
        </w:rPr>
        <w:t>第十条合同的转让</w:t>
      </w:r>
    </w:p>
    <w:p>
      <w:pPr>
        <w:adjustRightInd w:val="0"/>
        <w:spacing w:line="360" w:lineRule="auto"/>
        <w:ind w:firstLine="420"/>
        <w:rPr>
          <w:rFonts w:ascii="宋体" w:cs="宋体"/>
          <w:color w:val="auto"/>
          <w:kern w:val="0"/>
          <w:szCs w:val="21"/>
          <w:highlight w:val="none"/>
          <w:lang w:val="zh-CN"/>
        </w:rPr>
      </w:pPr>
      <w:r>
        <w:rPr>
          <w:rFonts w:hint="eastAsia" w:ascii="宋体" w:hAnsi="宋体" w:cs="宋体"/>
          <w:color w:val="auto"/>
          <w:kern w:val="0"/>
          <w:szCs w:val="21"/>
          <w:highlight w:val="none"/>
          <w:lang w:val="zh-CN"/>
        </w:rPr>
        <w:t>乙方不得部分或全部转让其应履行的合同义务。</w:t>
      </w:r>
    </w:p>
    <w:p>
      <w:pPr>
        <w:adjustRightInd w:val="0"/>
        <w:spacing w:line="360" w:lineRule="auto"/>
        <w:ind w:firstLine="420"/>
        <w:rPr>
          <w:rFonts w:ascii="宋体" w:cs="宋体"/>
          <w:b/>
          <w:bCs/>
          <w:color w:val="auto"/>
          <w:kern w:val="0"/>
          <w:szCs w:val="21"/>
          <w:highlight w:val="none"/>
          <w:lang w:val="zh-CN"/>
        </w:rPr>
      </w:pPr>
      <w:r>
        <w:rPr>
          <w:rFonts w:hint="eastAsia" w:ascii="宋体" w:hAnsi="宋体" w:cs="宋体"/>
          <w:b/>
          <w:bCs/>
          <w:color w:val="auto"/>
          <w:kern w:val="0"/>
          <w:szCs w:val="21"/>
          <w:highlight w:val="none"/>
          <w:lang w:val="zh-CN"/>
        </w:rPr>
        <w:t>第十</w:t>
      </w:r>
      <w:r>
        <w:rPr>
          <w:rFonts w:hint="eastAsia" w:ascii="宋体" w:hAnsi="宋体" w:cs="宋体"/>
          <w:b/>
          <w:bCs/>
          <w:color w:val="auto"/>
          <w:kern w:val="0"/>
          <w:szCs w:val="21"/>
          <w:highlight w:val="none"/>
        </w:rPr>
        <w:t>一</w:t>
      </w:r>
      <w:r>
        <w:rPr>
          <w:rFonts w:hint="eastAsia" w:ascii="宋体" w:hAnsi="宋体" w:cs="宋体"/>
          <w:b/>
          <w:bCs/>
          <w:color w:val="auto"/>
          <w:kern w:val="0"/>
          <w:szCs w:val="21"/>
          <w:highlight w:val="none"/>
          <w:lang w:val="zh-CN"/>
        </w:rPr>
        <w:t>条争议的解决</w:t>
      </w:r>
    </w:p>
    <w:p>
      <w:pPr>
        <w:adjustRightInd w:val="0"/>
        <w:spacing w:line="360" w:lineRule="auto"/>
        <w:ind w:firstLine="420"/>
        <w:rPr>
          <w:rFonts w:ascii="宋体" w:cs="宋体"/>
          <w:color w:val="auto"/>
          <w:kern w:val="0"/>
          <w:szCs w:val="21"/>
          <w:highlight w:val="none"/>
          <w:lang w:val="zh-CN"/>
        </w:rPr>
      </w:pPr>
      <w:r>
        <w:rPr>
          <w:rFonts w:ascii="宋体" w:hAnsi="宋体" w:cs="宋体"/>
          <w:color w:val="auto"/>
          <w:kern w:val="0"/>
          <w:szCs w:val="21"/>
          <w:highlight w:val="none"/>
          <w:lang w:val="zh-CN"/>
        </w:rPr>
        <w:t>1</w:t>
      </w:r>
      <w:r>
        <w:rPr>
          <w:rFonts w:hint="eastAsia" w:ascii="宋体" w:hAnsi="宋体" w:cs="宋体"/>
          <w:color w:val="auto"/>
          <w:kern w:val="0"/>
          <w:szCs w:val="21"/>
          <w:highlight w:val="none"/>
          <w:lang w:val="zh-CN"/>
        </w:rPr>
        <w:t>、因服务的质量问题发生争议的，应当由甲方邀请国家认可的质量检测机构对服务质量进行鉴定。符合标准的，鉴定费由甲方承担；不符合质量标准的，鉴定费由乙方承担。</w:t>
      </w:r>
    </w:p>
    <w:p>
      <w:pPr>
        <w:adjustRightInd w:val="0"/>
        <w:spacing w:line="360" w:lineRule="auto"/>
        <w:ind w:firstLine="420"/>
        <w:rPr>
          <w:rFonts w:ascii="宋体" w:cs="宋体"/>
          <w:color w:val="auto"/>
          <w:kern w:val="0"/>
          <w:szCs w:val="21"/>
          <w:highlight w:val="none"/>
          <w:lang w:val="zh-CN"/>
        </w:rPr>
      </w:pPr>
      <w:r>
        <w:rPr>
          <w:rFonts w:ascii="宋体" w:hAnsi="宋体" w:cs="宋体"/>
          <w:color w:val="auto"/>
          <w:kern w:val="0"/>
          <w:szCs w:val="21"/>
          <w:highlight w:val="none"/>
          <w:lang w:val="zh-CN"/>
        </w:rPr>
        <w:t>2</w:t>
      </w:r>
      <w:r>
        <w:rPr>
          <w:rFonts w:hint="eastAsia" w:ascii="宋体" w:hAnsi="宋体" w:cs="宋体"/>
          <w:color w:val="auto"/>
          <w:kern w:val="0"/>
          <w:szCs w:val="21"/>
          <w:highlight w:val="none"/>
          <w:lang w:val="zh-CN"/>
        </w:rPr>
        <w:t>、因履行本合同引起的或与本合同有关的争议，甲、乙双方应首先通过友好协商解决，如果协商不能解决争议，则采取以下第（</w:t>
      </w: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zh-CN"/>
        </w:rPr>
        <w:t>）种方式解决争议：</w:t>
      </w:r>
    </w:p>
    <w:p>
      <w:pPr>
        <w:adjustRightInd w:val="0"/>
        <w:spacing w:line="360" w:lineRule="auto"/>
        <w:ind w:firstLine="560"/>
        <w:rPr>
          <w:rFonts w:ascii="宋体" w:cs="宋体"/>
          <w:color w:val="auto"/>
          <w:kern w:val="0"/>
          <w:szCs w:val="21"/>
          <w:highlight w:val="none"/>
          <w:lang w:val="zh-CN"/>
        </w:rPr>
      </w:pPr>
      <w:r>
        <w:rPr>
          <w:rFonts w:hint="eastAsia" w:ascii="宋体" w:hAnsi="宋体" w:cs="宋体"/>
          <w:color w:val="auto"/>
          <w:kern w:val="0"/>
          <w:szCs w:val="21"/>
          <w:highlight w:val="none"/>
          <w:lang w:val="zh-CN"/>
        </w:rPr>
        <w:t>（</w:t>
      </w:r>
      <w:r>
        <w:rPr>
          <w:rFonts w:ascii="宋体" w:hAnsi="宋体" w:cs="宋体"/>
          <w:color w:val="auto"/>
          <w:kern w:val="0"/>
          <w:szCs w:val="21"/>
          <w:highlight w:val="none"/>
          <w:lang w:val="zh-CN"/>
        </w:rPr>
        <w:t>1</w:t>
      </w:r>
      <w:r>
        <w:rPr>
          <w:rFonts w:hint="eastAsia" w:ascii="宋体" w:hAnsi="宋体" w:cs="宋体"/>
          <w:color w:val="auto"/>
          <w:kern w:val="0"/>
          <w:szCs w:val="21"/>
          <w:highlight w:val="none"/>
          <w:lang w:val="zh-CN"/>
        </w:rPr>
        <w:t>）向甲方所在地有管辖权的人民法院提起诉讼；</w:t>
      </w:r>
    </w:p>
    <w:p>
      <w:pPr>
        <w:adjustRightInd w:val="0"/>
        <w:spacing w:line="360" w:lineRule="auto"/>
        <w:ind w:firstLine="560"/>
        <w:rPr>
          <w:rFonts w:ascii="宋体" w:cs="宋体"/>
          <w:color w:val="auto"/>
          <w:kern w:val="0"/>
          <w:szCs w:val="21"/>
          <w:highlight w:val="none"/>
          <w:lang w:val="zh-CN"/>
        </w:rPr>
      </w:pPr>
      <w:r>
        <w:rPr>
          <w:rFonts w:hint="eastAsia" w:ascii="宋体" w:hAnsi="宋体" w:cs="宋体"/>
          <w:color w:val="auto"/>
          <w:kern w:val="0"/>
          <w:szCs w:val="21"/>
          <w:highlight w:val="none"/>
          <w:lang w:val="zh-CN"/>
        </w:rPr>
        <w:t>（</w:t>
      </w:r>
      <w:r>
        <w:rPr>
          <w:rFonts w:ascii="宋体" w:hAnsi="宋体" w:cs="宋体"/>
          <w:color w:val="auto"/>
          <w:kern w:val="0"/>
          <w:szCs w:val="21"/>
          <w:highlight w:val="none"/>
          <w:lang w:val="zh-CN"/>
        </w:rPr>
        <w:t>2</w:t>
      </w:r>
      <w:r>
        <w:rPr>
          <w:rFonts w:hint="eastAsia" w:ascii="宋体" w:hAnsi="宋体" w:cs="宋体"/>
          <w:color w:val="auto"/>
          <w:kern w:val="0"/>
          <w:szCs w:val="21"/>
          <w:highlight w:val="none"/>
          <w:lang w:val="zh-CN"/>
        </w:rPr>
        <w:t>）向南京仲裁委员会按其仲裁规则申请仲裁。</w:t>
      </w:r>
    </w:p>
    <w:p>
      <w:pPr>
        <w:adjustRightInd w:val="0"/>
        <w:spacing w:line="360" w:lineRule="auto"/>
        <w:ind w:firstLine="42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如没有约定，默认采取第（</w:t>
      </w:r>
      <w:r>
        <w:rPr>
          <w:rFonts w:ascii="宋体" w:hAnsi="宋体" w:cs="宋体"/>
          <w:color w:val="auto"/>
          <w:kern w:val="0"/>
          <w:szCs w:val="21"/>
          <w:highlight w:val="none"/>
          <w:lang w:val="zh-CN"/>
        </w:rPr>
        <w:t>1</w:t>
      </w:r>
      <w:r>
        <w:rPr>
          <w:rFonts w:hint="eastAsia" w:ascii="宋体" w:hAnsi="宋体" w:cs="宋体"/>
          <w:color w:val="auto"/>
          <w:kern w:val="0"/>
          <w:szCs w:val="21"/>
          <w:highlight w:val="none"/>
          <w:lang w:val="zh-CN"/>
        </w:rPr>
        <w:t>）种方式解决争议。</w:t>
      </w:r>
    </w:p>
    <w:p>
      <w:pPr>
        <w:adjustRightInd w:val="0"/>
        <w:spacing w:line="360" w:lineRule="auto"/>
        <w:ind w:firstLine="420"/>
        <w:rPr>
          <w:rFonts w:ascii="宋体" w:cs="宋体"/>
          <w:color w:val="auto"/>
          <w:kern w:val="0"/>
          <w:szCs w:val="21"/>
          <w:highlight w:val="none"/>
          <w:lang w:val="zh-CN"/>
        </w:rPr>
      </w:pPr>
      <w:r>
        <w:rPr>
          <w:rFonts w:ascii="宋体" w:hAnsi="宋体" w:cs="宋体"/>
          <w:color w:val="auto"/>
          <w:kern w:val="0"/>
          <w:szCs w:val="21"/>
          <w:highlight w:val="none"/>
          <w:lang w:val="zh-CN"/>
        </w:rPr>
        <w:t>3</w:t>
      </w:r>
      <w:r>
        <w:rPr>
          <w:rFonts w:hint="eastAsia" w:ascii="宋体" w:hAnsi="宋体" w:cs="宋体"/>
          <w:color w:val="auto"/>
          <w:kern w:val="0"/>
          <w:szCs w:val="21"/>
          <w:highlight w:val="none"/>
          <w:lang w:val="zh-CN"/>
        </w:rPr>
        <w:t>、在</w:t>
      </w:r>
      <w:r>
        <w:rPr>
          <w:rFonts w:hint="eastAsia"/>
          <w:color w:val="auto"/>
          <w:highlight w:val="none"/>
        </w:rPr>
        <w:t>诉讼</w:t>
      </w:r>
      <w:r>
        <w:rPr>
          <w:rFonts w:hint="eastAsia" w:ascii="宋体" w:hAnsi="宋体" w:cs="宋体"/>
          <w:color w:val="auto"/>
          <w:kern w:val="0"/>
          <w:szCs w:val="21"/>
          <w:highlight w:val="none"/>
          <w:lang w:val="zh-CN"/>
        </w:rPr>
        <w:t>期间，本合同应继续履行</w:t>
      </w:r>
    </w:p>
    <w:p>
      <w:pPr>
        <w:adjustRightInd w:val="0"/>
        <w:spacing w:line="360" w:lineRule="auto"/>
        <w:ind w:firstLine="420"/>
        <w:rPr>
          <w:rFonts w:ascii="宋体" w:cs="宋体"/>
          <w:b/>
          <w:bCs/>
          <w:color w:val="auto"/>
          <w:kern w:val="0"/>
          <w:szCs w:val="21"/>
          <w:highlight w:val="none"/>
          <w:lang w:val="zh-CN"/>
        </w:rPr>
      </w:pPr>
      <w:r>
        <w:rPr>
          <w:rFonts w:hint="eastAsia" w:ascii="宋体" w:hAnsi="宋体" w:cs="宋体"/>
          <w:b/>
          <w:bCs/>
          <w:color w:val="auto"/>
          <w:kern w:val="0"/>
          <w:szCs w:val="21"/>
          <w:highlight w:val="none"/>
          <w:lang w:val="zh-CN"/>
        </w:rPr>
        <w:t>第十</w:t>
      </w:r>
      <w:r>
        <w:rPr>
          <w:rFonts w:hint="eastAsia" w:ascii="宋体" w:hAnsi="宋体" w:cs="宋体"/>
          <w:b/>
          <w:bCs/>
          <w:color w:val="auto"/>
          <w:kern w:val="0"/>
          <w:szCs w:val="21"/>
          <w:highlight w:val="none"/>
        </w:rPr>
        <w:t>二</w:t>
      </w:r>
      <w:r>
        <w:rPr>
          <w:rFonts w:hint="eastAsia" w:ascii="宋体" w:hAnsi="宋体" w:cs="宋体"/>
          <w:b/>
          <w:bCs/>
          <w:color w:val="auto"/>
          <w:kern w:val="0"/>
          <w:szCs w:val="21"/>
          <w:highlight w:val="none"/>
          <w:lang w:val="zh-CN"/>
        </w:rPr>
        <w:t>条诚实信用</w:t>
      </w:r>
    </w:p>
    <w:p>
      <w:pPr>
        <w:adjustRightInd w:val="0"/>
        <w:spacing w:line="360" w:lineRule="auto"/>
        <w:ind w:firstLine="420"/>
        <w:rPr>
          <w:rFonts w:ascii="宋体" w:cs="宋体"/>
          <w:color w:val="auto"/>
          <w:kern w:val="0"/>
          <w:szCs w:val="21"/>
          <w:highlight w:val="none"/>
          <w:lang w:val="zh-CN"/>
        </w:rPr>
      </w:pPr>
      <w:r>
        <w:rPr>
          <w:rFonts w:hint="eastAsia" w:ascii="宋体" w:hAnsi="宋体" w:cs="宋体"/>
          <w:color w:val="auto"/>
          <w:kern w:val="0"/>
          <w:szCs w:val="21"/>
          <w:highlight w:val="none"/>
          <w:lang w:val="zh-CN"/>
        </w:rPr>
        <w:t>乙方应诚实信用，严格按照招标文件要求和投标承诺履行合同，不向甲方进行商业贿赂或者提供不正当利益。</w:t>
      </w:r>
    </w:p>
    <w:p>
      <w:pPr>
        <w:adjustRightInd w:val="0"/>
        <w:spacing w:line="360" w:lineRule="auto"/>
        <w:ind w:firstLine="420"/>
        <w:rPr>
          <w:rFonts w:ascii="宋体" w:hAnsi="宋体" w:cs="宋体"/>
          <w:b/>
          <w:bCs/>
          <w:color w:val="auto"/>
          <w:kern w:val="0"/>
          <w:szCs w:val="21"/>
          <w:highlight w:val="none"/>
          <w:lang w:val="zh-CN"/>
        </w:rPr>
      </w:pPr>
      <w:r>
        <w:rPr>
          <w:rFonts w:hint="eastAsia" w:ascii="宋体" w:hAnsi="宋体" w:cs="宋体"/>
          <w:b/>
          <w:bCs/>
          <w:color w:val="auto"/>
          <w:kern w:val="0"/>
          <w:szCs w:val="21"/>
          <w:highlight w:val="none"/>
          <w:lang w:val="zh-CN"/>
        </w:rPr>
        <w:t>第十</w:t>
      </w:r>
      <w:r>
        <w:rPr>
          <w:rFonts w:hint="eastAsia" w:ascii="宋体" w:hAnsi="宋体" w:cs="宋体"/>
          <w:b/>
          <w:bCs/>
          <w:color w:val="auto"/>
          <w:kern w:val="0"/>
          <w:szCs w:val="21"/>
          <w:highlight w:val="none"/>
        </w:rPr>
        <w:t>三</w:t>
      </w:r>
      <w:r>
        <w:rPr>
          <w:rFonts w:hint="eastAsia" w:ascii="宋体" w:hAnsi="宋体" w:cs="宋体"/>
          <w:b/>
          <w:bCs/>
          <w:color w:val="auto"/>
          <w:kern w:val="0"/>
          <w:szCs w:val="21"/>
          <w:highlight w:val="none"/>
          <w:lang w:val="zh-CN"/>
        </w:rPr>
        <w:t xml:space="preserve">条保密 </w:t>
      </w:r>
    </w:p>
    <w:p>
      <w:pPr>
        <w:adjustRightInd w:val="0"/>
        <w:spacing w:line="360" w:lineRule="auto"/>
        <w:ind w:firstLine="42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 xml:space="preserve">合同双方应对因履行合同而取得的另一方当事人的信息、资料等予以保密。未经另一方当事人书面同意，任何一方均不得为与履行合同无关的目的使用或向第三方披露另一方当事人提供的信息、资料。 </w:t>
      </w:r>
    </w:p>
    <w:p>
      <w:pPr>
        <w:adjustRightInd w:val="0"/>
        <w:spacing w:line="360" w:lineRule="auto"/>
        <w:ind w:firstLine="420"/>
        <w:rPr>
          <w:rFonts w:ascii="宋体" w:cs="宋体"/>
          <w:b/>
          <w:bCs/>
          <w:color w:val="auto"/>
          <w:kern w:val="0"/>
          <w:szCs w:val="21"/>
          <w:highlight w:val="none"/>
          <w:lang w:val="zh-CN"/>
        </w:rPr>
      </w:pPr>
      <w:r>
        <w:rPr>
          <w:rFonts w:hint="eastAsia" w:ascii="宋体" w:hAnsi="宋体" w:cs="宋体"/>
          <w:b/>
          <w:bCs/>
          <w:color w:val="auto"/>
          <w:kern w:val="0"/>
          <w:szCs w:val="21"/>
          <w:highlight w:val="none"/>
          <w:lang w:val="zh-CN"/>
        </w:rPr>
        <w:t>第十</w:t>
      </w:r>
      <w:r>
        <w:rPr>
          <w:rFonts w:hint="eastAsia" w:ascii="宋体" w:hAnsi="宋体" w:cs="宋体"/>
          <w:b/>
          <w:bCs/>
          <w:color w:val="auto"/>
          <w:kern w:val="0"/>
          <w:szCs w:val="21"/>
          <w:highlight w:val="none"/>
        </w:rPr>
        <w:t>四</w:t>
      </w:r>
      <w:r>
        <w:rPr>
          <w:rFonts w:hint="eastAsia" w:ascii="宋体" w:hAnsi="宋体" w:cs="宋体"/>
          <w:b/>
          <w:bCs/>
          <w:color w:val="auto"/>
          <w:kern w:val="0"/>
          <w:szCs w:val="21"/>
          <w:highlight w:val="none"/>
          <w:lang w:val="zh-CN"/>
        </w:rPr>
        <w:t>条合同生效及其他</w:t>
      </w:r>
    </w:p>
    <w:p>
      <w:pPr>
        <w:adjustRightInd w:val="0"/>
        <w:spacing w:line="360" w:lineRule="auto"/>
        <w:ind w:firstLine="420"/>
        <w:rPr>
          <w:rFonts w:ascii="宋体" w:cs="宋体"/>
          <w:color w:val="auto"/>
          <w:kern w:val="0"/>
          <w:szCs w:val="21"/>
          <w:highlight w:val="none"/>
          <w:lang w:val="zh-CN"/>
        </w:rPr>
      </w:pPr>
      <w:r>
        <w:rPr>
          <w:rFonts w:ascii="宋体" w:hAnsi="宋体" w:cs="宋体"/>
          <w:color w:val="auto"/>
          <w:kern w:val="0"/>
          <w:szCs w:val="21"/>
          <w:highlight w:val="none"/>
          <w:lang w:val="zh-CN"/>
        </w:rPr>
        <w:t>1</w:t>
      </w:r>
      <w:r>
        <w:rPr>
          <w:rFonts w:hint="eastAsia" w:ascii="宋体" w:hAnsi="宋体" w:cs="宋体"/>
          <w:color w:val="auto"/>
          <w:kern w:val="0"/>
          <w:szCs w:val="21"/>
          <w:highlight w:val="none"/>
          <w:lang w:val="zh-CN"/>
        </w:rPr>
        <w:t>、本合同自双方签字盖章之日起生效。</w:t>
      </w:r>
    </w:p>
    <w:p>
      <w:pPr>
        <w:adjustRightInd w:val="0"/>
        <w:spacing w:line="360" w:lineRule="auto"/>
        <w:ind w:firstLine="420"/>
        <w:rPr>
          <w:rFonts w:ascii="宋体" w:cs="宋体"/>
          <w:color w:val="auto"/>
          <w:kern w:val="0"/>
          <w:szCs w:val="21"/>
          <w:highlight w:val="none"/>
          <w:lang w:val="zh-CN"/>
        </w:rPr>
      </w:pPr>
      <w:r>
        <w:rPr>
          <w:rFonts w:ascii="宋体" w:hAnsi="宋体" w:cs="宋体"/>
          <w:color w:val="auto"/>
          <w:kern w:val="0"/>
          <w:szCs w:val="21"/>
          <w:highlight w:val="none"/>
          <w:lang w:val="zh-CN"/>
        </w:rPr>
        <w:t>2</w:t>
      </w:r>
      <w:r>
        <w:rPr>
          <w:rFonts w:hint="eastAsia" w:ascii="宋体" w:hAnsi="宋体" w:cs="宋体"/>
          <w:color w:val="auto"/>
          <w:kern w:val="0"/>
          <w:szCs w:val="21"/>
          <w:highlight w:val="none"/>
          <w:lang w:val="zh-CN"/>
        </w:rPr>
        <w:t>、本合同一式捌份，甲执肆份，乙执肆份，，</w:t>
      </w:r>
      <w:r>
        <w:rPr>
          <w:rFonts w:hint="eastAsia" w:ascii="宋体" w:hAnsi="宋体" w:cs="宋体"/>
          <w:color w:val="auto"/>
          <w:kern w:val="0"/>
          <w:szCs w:val="21"/>
          <w:highlight w:val="none"/>
        </w:rPr>
        <w:t>均具有同等法律效力</w:t>
      </w:r>
      <w:r>
        <w:rPr>
          <w:rFonts w:hint="eastAsia" w:ascii="宋体" w:hAnsi="宋体" w:cs="宋体"/>
          <w:color w:val="auto"/>
          <w:kern w:val="0"/>
          <w:szCs w:val="21"/>
          <w:highlight w:val="none"/>
          <w:lang w:val="zh-CN"/>
        </w:rPr>
        <w:t>。</w:t>
      </w:r>
    </w:p>
    <w:p>
      <w:pPr>
        <w:adjustRightInd w:val="0"/>
        <w:spacing w:line="360" w:lineRule="auto"/>
        <w:ind w:firstLine="420"/>
        <w:rPr>
          <w:rFonts w:ascii="宋体" w:cs="宋体"/>
          <w:color w:val="auto"/>
          <w:kern w:val="0"/>
          <w:szCs w:val="21"/>
          <w:highlight w:val="none"/>
          <w:lang w:val="zh-CN"/>
        </w:rPr>
      </w:pPr>
      <w:r>
        <w:rPr>
          <w:rFonts w:ascii="宋体" w:hAnsi="宋体" w:cs="宋体"/>
          <w:color w:val="auto"/>
          <w:kern w:val="0"/>
          <w:szCs w:val="21"/>
          <w:highlight w:val="none"/>
          <w:lang w:val="zh-CN"/>
        </w:rPr>
        <w:t>3</w:t>
      </w:r>
      <w:r>
        <w:rPr>
          <w:rFonts w:hint="eastAsia" w:ascii="宋体" w:hAnsi="宋体" w:cs="宋体"/>
          <w:color w:val="auto"/>
          <w:kern w:val="0"/>
          <w:szCs w:val="21"/>
          <w:highlight w:val="none"/>
          <w:lang w:val="zh-CN"/>
        </w:rPr>
        <w:t>、本合同应按照中华人民共和国的现行法律进行解释。</w:t>
      </w:r>
    </w:p>
    <w:p>
      <w:pPr>
        <w:adjustRightInd w:val="0"/>
        <w:spacing w:line="380" w:lineRule="exact"/>
        <w:ind w:firstLine="420"/>
        <w:rPr>
          <w:rFonts w:ascii="宋体" w:cs="宋体"/>
          <w:color w:val="auto"/>
          <w:kern w:val="0"/>
          <w:szCs w:val="21"/>
          <w:highlight w:val="none"/>
          <w:lang w:val="zh-CN"/>
        </w:rPr>
      </w:pPr>
    </w:p>
    <w:tbl>
      <w:tblPr>
        <w:tblStyle w:val="37"/>
        <w:tblW w:w="9583" w:type="dxa"/>
        <w:tblInd w:w="-108" w:type="dxa"/>
        <w:tblLayout w:type="fixed"/>
        <w:tblCellMar>
          <w:top w:w="0" w:type="dxa"/>
          <w:left w:w="0" w:type="dxa"/>
          <w:bottom w:w="0" w:type="dxa"/>
          <w:right w:w="0" w:type="dxa"/>
        </w:tblCellMar>
      </w:tblPr>
      <w:tblGrid>
        <w:gridCol w:w="4643"/>
        <w:gridCol w:w="4940"/>
      </w:tblGrid>
      <w:tr>
        <w:tblPrEx>
          <w:tblCellMar>
            <w:top w:w="0" w:type="dxa"/>
            <w:left w:w="0" w:type="dxa"/>
            <w:bottom w:w="0" w:type="dxa"/>
            <w:right w:w="0" w:type="dxa"/>
          </w:tblCellMar>
        </w:tblPrEx>
        <w:tc>
          <w:tcPr>
            <w:tcW w:w="4643" w:type="dxa"/>
            <w:tcBorders>
              <w:top w:val="nil"/>
              <w:left w:val="nil"/>
              <w:bottom w:val="nil"/>
              <w:right w:val="nil"/>
            </w:tcBorders>
          </w:tcPr>
          <w:p>
            <w:pPr>
              <w:adjustRightInd w:val="0"/>
              <w:spacing w:line="380" w:lineRule="exact"/>
              <w:ind w:left="420" w:right="105" w:rightChars="50" w:hanging="420" w:hanging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甲方（招标人）：</w:t>
            </w:r>
            <w:r>
              <w:rPr>
                <w:rFonts w:ascii="宋体" w:hAnsi="宋体" w:cs="宋体"/>
                <w:color w:val="auto"/>
                <w:kern w:val="0"/>
                <w:szCs w:val="21"/>
                <w:highlight w:val="none"/>
                <w:lang w:val="zh-CN"/>
              </w:rPr>
              <w:t xml:space="preserve"> </w:t>
            </w:r>
          </w:p>
          <w:p>
            <w:pPr>
              <w:adjustRightInd w:val="0"/>
              <w:spacing w:line="380" w:lineRule="exact"/>
              <w:ind w:left="420" w:leftChars="200" w:right="105" w:rightChars="50" w:firstLine="210" w:firstLineChars="100"/>
              <w:rPr>
                <w:rFonts w:ascii="宋体" w:cs="宋体"/>
                <w:color w:val="auto"/>
                <w:kern w:val="0"/>
                <w:szCs w:val="21"/>
                <w:highlight w:val="none"/>
                <w:lang w:val="zh-CN"/>
              </w:rPr>
            </w:pPr>
            <w:r>
              <w:rPr>
                <w:rFonts w:hint="eastAsia" w:ascii="宋体" w:hAnsi="宋体" w:cs="宋体"/>
                <w:color w:val="auto"/>
                <w:kern w:val="0"/>
                <w:szCs w:val="21"/>
                <w:highlight w:val="none"/>
                <w:lang w:val="zh-CN"/>
              </w:rPr>
              <w:t>（盖章）</w:t>
            </w:r>
            <w:r>
              <w:rPr>
                <w:rFonts w:hint="eastAsia" w:ascii="宋体" w:hAnsi="宋体" w:cs="宋体"/>
                <w:color w:val="auto"/>
                <w:kern w:val="0"/>
                <w:szCs w:val="21"/>
                <w:highlight w:val="none"/>
              </w:rPr>
              <w:t xml:space="preserve"> </w:t>
            </w:r>
          </w:p>
        </w:tc>
        <w:tc>
          <w:tcPr>
            <w:tcW w:w="4940" w:type="dxa"/>
            <w:tcBorders>
              <w:top w:val="nil"/>
              <w:left w:val="nil"/>
              <w:bottom w:val="nil"/>
              <w:right w:val="nil"/>
            </w:tcBorders>
          </w:tcPr>
          <w:p>
            <w:pPr>
              <w:adjustRightInd w:val="0"/>
              <w:spacing w:line="380" w:lineRule="exac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乙方（供应商）：</w:t>
            </w:r>
          </w:p>
          <w:p>
            <w:pPr>
              <w:adjustRightInd w:val="0"/>
              <w:spacing w:line="380" w:lineRule="exact"/>
              <w:ind w:firstLine="630" w:firstLineChars="300"/>
              <w:rPr>
                <w:rFonts w:ascii="宋体" w:cs="宋体"/>
                <w:color w:val="auto"/>
                <w:kern w:val="0"/>
                <w:szCs w:val="21"/>
                <w:highlight w:val="none"/>
                <w:lang w:val="zh-CN"/>
              </w:rPr>
            </w:pPr>
            <w:r>
              <w:rPr>
                <w:rFonts w:hint="eastAsia" w:ascii="宋体" w:hAnsi="宋体" w:cs="宋体"/>
                <w:color w:val="auto"/>
                <w:kern w:val="0"/>
                <w:szCs w:val="21"/>
                <w:highlight w:val="none"/>
                <w:lang w:val="zh-CN"/>
              </w:rPr>
              <w:t>（盖章）</w:t>
            </w:r>
          </w:p>
        </w:tc>
      </w:tr>
      <w:tr>
        <w:tblPrEx>
          <w:tblCellMar>
            <w:top w:w="0" w:type="dxa"/>
            <w:left w:w="0" w:type="dxa"/>
            <w:bottom w:w="0" w:type="dxa"/>
            <w:right w:w="0" w:type="dxa"/>
          </w:tblCellMar>
        </w:tblPrEx>
        <w:tc>
          <w:tcPr>
            <w:tcW w:w="4643" w:type="dxa"/>
            <w:tcBorders>
              <w:top w:val="nil"/>
              <w:left w:val="nil"/>
              <w:bottom w:val="nil"/>
              <w:right w:val="nil"/>
            </w:tcBorders>
          </w:tcPr>
          <w:p>
            <w:pPr>
              <w:adjustRightInd w:val="0"/>
              <w:spacing w:line="380" w:lineRule="exact"/>
              <w:ind w:right="105" w:rightChars="50"/>
              <w:rPr>
                <w:rFonts w:ascii="宋体" w:cs="宋体"/>
                <w:color w:val="auto"/>
                <w:kern w:val="0"/>
                <w:szCs w:val="21"/>
                <w:highlight w:val="none"/>
              </w:rPr>
            </w:pPr>
            <w:r>
              <w:rPr>
                <w:rFonts w:hint="eastAsia" w:ascii="宋体" w:hAnsi="宋体" w:cs="宋体"/>
                <w:color w:val="auto"/>
                <w:kern w:val="0"/>
                <w:szCs w:val="21"/>
                <w:highlight w:val="none"/>
                <w:lang w:val="zh-CN"/>
              </w:rPr>
              <w:t>代表人：</w:t>
            </w:r>
          </w:p>
        </w:tc>
        <w:tc>
          <w:tcPr>
            <w:tcW w:w="4940" w:type="dxa"/>
            <w:tcBorders>
              <w:top w:val="nil"/>
              <w:left w:val="nil"/>
              <w:bottom w:val="nil"/>
              <w:right w:val="nil"/>
            </w:tcBorders>
          </w:tcPr>
          <w:p>
            <w:pPr>
              <w:adjustRightInd w:val="0"/>
              <w:spacing w:line="380" w:lineRule="exact"/>
              <w:rPr>
                <w:rFonts w:ascii="宋体" w:cs="宋体"/>
                <w:color w:val="auto"/>
                <w:kern w:val="0"/>
                <w:szCs w:val="21"/>
                <w:highlight w:val="none"/>
              </w:rPr>
            </w:pPr>
            <w:r>
              <w:rPr>
                <w:rFonts w:hint="eastAsia" w:ascii="宋体" w:hAnsi="宋体" w:cs="宋体"/>
                <w:color w:val="auto"/>
                <w:kern w:val="0"/>
                <w:szCs w:val="21"/>
                <w:highlight w:val="none"/>
                <w:lang w:val="zh-CN"/>
              </w:rPr>
              <w:t>代表人</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c>
          <w:tcPr>
            <w:tcW w:w="4643" w:type="dxa"/>
            <w:tcBorders>
              <w:top w:val="nil"/>
              <w:left w:val="nil"/>
              <w:bottom w:val="nil"/>
              <w:right w:val="nil"/>
            </w:tcBorders>
          </w:tcPr>
          <w:p>
            <w:pPr>
              <w:adjustRightInd w:val="0"/>
              <w:spacing w:line="380" w:lineRule="exact"/>
              <w:ind w:right="105" w:rightChars="50"/>
              <w:rPr>
                <w:rFonts w:ascii="宋体" w:cs="宋体"/>
                <w:color w:val="auto"/>
                <w:kern w:val="0"/>
                <w:szCs w:val="21"/>
                <w:highlight w:val="none"/>
              </w:rPr>
            </w:pPr>
            <w:r>
              <w:rPr>
                <w:rFonts w:hint="eastAsia" w:ascii="宋体" w:hAnsi="宋体" w:cs="宋体"/>
                <w:color w:val="auto"/>
                <w:kern w:val="0"/>
                <w:szCs w:val="21"/>
                <w:highlight w:val="none"/>
                <w:lang w:val="zh-CN"/>
              </w:rPr>
              <w:t>电话：</w:t>
            </w:r>
          </w:p>
        </w:tc>
        <w:tc>
          <w:tcPr>
            <w:tcW w:w="4940" w:type="dxa"/>
            <w:tcBorders>
              <w:top w:val="nil"/>
              <w:left w:val="nil"/>
              <w:bottom w:val="nil"/>
              <w:right w:val="nil"/>
            </w:tcBorders>
          </w:tcPr>
          <w:p>
            <w:pPr>
              <w:adjustRightInd w:val="0"/>
              <w:spacing w:line="380" w:lineRule="exact"/>
              <w:rPr>
                <w:rFonts w:ascii="宋体" w:cs="宋体"/>
                <w:color w:val="auto"/>
                <w:kern w:val="0"/>
                <w:szCs w:val="21"/>
                <w:highlight w:val="none"/>
              </w:rPr>
            </w:pPr>
            <w:r>
              <w:rPr>
                <w:rFonts w:hint="eastAsia" w:ascii="宋体" w:hAnsi="宋体" w:cs="宋体"/>
                <w:color w:val="auto"/>
                <w:kern w:val="0"/>
                <w:szCs w:val="21"/>
                <w:highlight w:val="none"/>
                <w:lang w:val="zh-CN"/>
              </w:rPr>
              <w:t>电话：</w:t>
            </w:r>
          </w:p>
        </w:tc>
      </w:tr>
      <w:tr>
        <w:tblPrEx>
          <w:tblCellMar>
            <w:top w:w="0" w:type="dxa"/>
            <w:left w:w="0" w:type="dxa"/>
            <w:bottom w:w="0" w:type="dxa"/>
            <w:right w:w="0" w:type="dxa"/>
          </w:tblCellMar>
        </w:tblPrEx>
        <w:tc>
          <w:tcPr>
            <w:tcW w:w="4643" w:type="dxa"/>
            <w:tcBorders>
              <w:top w:val="nil"/>
              <w:left w:val="nil"/>
              <w:bottom w:val="nil"/>
              <w:right w:val="nil"/>
            </w:tcBorders>
          </w:tcPr>
          <w:p>
            <w:pPr>
              <w:adjustRightInd w:val="0"/>
              <w:spacing w:line="380" w:lineRule="exact"/>
              <w:ind w:right="105" w:rightChars="50"/>
              <w:rPr>
                <w:rFonts w:ascii="宋体" w:cs="宋体"/>
                <w:color w:val="auto"/>
                <w:kern w:val="0"/>
                <w:szCs w:val="21"/>
                <w:highlight w:val="none"/>
              </w:rPr>
            </w:pPr>
            <w:r>
              <w:rPr>
                <w:rFonts w:hint="eastAsia" w:ascii="宋体" w:hAnsi="宋体" w:cs="宋体"/>
                <w:color w:val="auto"/>
                <w:kern w:val="0"/>
                <w:szCs w:val="21"/>
                <w:highlight w:val="none"/>
                <w:lang w:val="zh-CN"/>
              </w:rPr>
              <w:t>开户银行：</w:t>
            </w:r>
          </w:p>
        </w:tc>
        <w:tc>
          <w:tcPr>
            <w:tcW w:w="4940" w:type="dxa"/>
            <w:tcBorders>
              <w:top w:val="nil"/>
              <w:left w:val="nil"/>
              <w:bottom w:val="nil"/>
              <w:right w:val="nil"/>
            </w:tcBorders>
          </w:tcPr>
          <w:p>
            <w:pPr>
              <w:adjustRightInd w:val="0"/>
              <w:spacing w:line="380" w:lineRule="exact"/>
              <w:rPr>
                <w:rFonts w:ascii="宋体" w:cs="宋体"/>
                <w:color w:val="auto"/>
                <w:kern w:val="0"/>
                <w:szCs w:val="21"/>
                <w:highlight w:val="none"/>
              </w:rPr>
            </w:pPr>
            <w:r>
              <w:rPr>
                <w:rFonts w:hint="eastAsia" w:ascii="宋体" w:hAnsi="宋体" w:cs="宋体"/>
                <w:color w:val="auto"/>
                <w:kern w:val="0"/>
                <w:szCs w:val="21"/>
                <w:highlight w:val="none"/>
                <w:lang w:val="zh-CN"/>
              </w:rPr>
              <w:t xml:space="preserve">开户银行： </w:t>
            </w:r>
          </w:p>
        </w:tc>
      </w:tr>
      <w:tr>
        <w:tblPrEx>
          <w:tblCellMar>
            <w:top w:w="0" w:type="dxa"/>
            <w:left w:w="0" w:type="dxa"/>
            <w:bottom w:w="0" w:type="dxa"/>
            <w:right w:w="0" w:type="dxa"/>
          </w:tblCellMar>
        </w:tblPrEx>
        <w:tc>
          <w:tcPr>
            <w:tcW w:w="4643" w:type="dxa"/>
            <w:tcBorders>
              <w:top w:val="nil"/>
              <w:left w:val="nil"/>
              <w:bottom w:val="nil"/>
              <w:right w:val="nil"/>
            </w:tcBorders>
          </w:tcPr>
          <w:p>
            <w:pPr>
              <w:adjustRightInd w:val="0"/>
              <w:spacing w:line="380" w:lineRule="exact"/>
              <w:ind w:right="105" w:rightChars="50"/>
              <w:rPr>
                <w:rFonts w:ascii="宋体" w:cs="宋体"/>
                <w:color w:val="auto"/>
                <w:kern w:val="0"/>
                <w:szCs w:val="21"/>
                <w:highlight w:val="none"/>
              </w:rPr>
            </w:pPr>
            <w:r>
              <w:rPr>
                <w:rFonts w:hint="eastAsia" w:ascii="宋体" w:hAnsi="宋体" w:cs="宋体"/>
                <w:color w:val="auto"/>
                <w:kern w:val="0"/>
                <w:szCs w:val="21"/>
                <w:highlight w:val="none"/>
                <w:lang w:val="zh-CN"/>
              </w:rPr>
              <w:t>账号：</w:t>
            </w:r>
          </w:p>
        </w:tc>
        <w:tc>
          <w:tcPr>
            <w:tcW w:w="4940" w:type="dxa"/>
            <w:tcBorders>
              <w:top w:val="nil"/>
              <w:left w:val="nil"/>
              <w:bottom w:val="nil"/>
              <w:right w:val="nil"/>
            </w:tcBorders>
          </w:tcPr>
          <w:p>
            <w:pPr>
              <w:adjustRightInd w:val="0"/>
              <w:spacing w:line="380" w:lineRule="exact"/>
              <w:rPr>
                <w:rFonts w:ascii="宋体" w:cs="宋体"/>
                <w:color w:val="auto"/>
                <w:kern w:val="0"/>
                <w:szCs w:val="21"/>
                <w:highlight w:val="none"/>
                <w:lang w:val="zh-CN"/>
              </w:rPr>
            </w:pPr>
            <w:r>
              <w:rPr>
                <w:rFonts w:hint="eastAsia" w:ascii="宋体" w:hAnsi="宋体" w:cs="宋体"/>
                <w:color w:val="auto"/>
                <w:kern w:val="0"/>
                <w:szCs w:val="21"/>
                <w:highlight w:val="none"/>
                <w:lang w:val="zh-CN"/>
              </w:rPr>
              <w:t>账号：</w:t>
            </w:r>
          </w:p>
          <w:p>
            <w:pPr>
              <w:adjustRightInd w:val="0"/>
              <w:spacing w:line="380" w:lineRule="exact"/>
              <w:rPr>
                <w:rFonts w:ascii="宋体" w:cs="宋体"/>
                <w:color w:val="auto"/>
                <w:kern w:val="0"/>
                <w:szCs w:val="21"/>
                <w:highlight w:val="none"/>
                <w:lang w:val="zh-CN"/>
              </w:rPr>
            </w:pPr>
          </w:p>
        </w:tc>
      </w:tr>
    </w:tbl>
    <w:p>
      <w:pPr>
        <w:ind w:firstLine="562" w:firstLineChars="200"/>
        <w:rPr>
          <w:rFonts w:ascii="宋体" w:hAnsi="宋体" w:cs="宋体"/>
          <w:b/>
          <w:bCs/>
          <w:color w:val="auto"/>
          <w:sz w:val="28"/>
          <w:szCs w:val="28"/>
          <w:highlight w:val="none"/>
        </w:rPr>
      </w:pPr>
    </w:p>
    <w:p>
      <w:pPr>
        <w:pStyle w:val="71"/>
        <w:rPr>
          <w:color w:val="auto"/>
          <w:highlight w:val="none"/>
        </w:rPr>
      </w:pPr>
    </w:p>
    <w:p>
      <w:pPr>
        <w:ind w:firstLine="420" w:firstLineChars="200"/>
        <w:rPr>
          <w:color w:val="auto"/>
          <w:highlight w:val="none"/>
        </w:rPr>
      </w:pPr>
    </w:p>
    <w:p>
      <w:pPr>
        <w:adjustRightInd w:val="0"/>
        <w:snapToGrid w:val="0"/>
        <w:spacing w:line="460" w:lineRule="exact"/>
        <w:ind w:firstLine="560" w:firstLineChars="200"/>
        <w:rPr>
          <w:rFonts w:ascii="宋体" w:hAnsi="宋体" w:cs="宋体"/>
          <w:color w:val="auto"/>
          <w:sz w:val="28"/>
          <w:szCs w:val="28"/>
          <w:highlight w:val="none"/>
        </w:rPr>
      </w:pPr>
    </w:p>
    <w:p>
      <w:pPr>
        <w:spacing w:line="500" w:lineRule="exact"/>
        <w:contextualSpacing/>
        <w:jc w:val="center"/>
        <w:rPr>
          <w:rFonts w:ascii="宋体" w:hAnsi="宋体" w:cs="宋体"/>
          <w:bCs/>
          <w:color w:val="auto"/>
          <w:sz w:val="36"/>
          <w:szCs w:val="36"/>
          <w:highlight w:val="none"/>
        </w:rPr>
      </w:pPr>
      <w:r>
        <w:rPr>
          <w:rFonts w:hint="eastAsia" w:ascii="宋体" w:hAnsi="宋体" w:cs="宋体"/>
          <w:bCs/>
          <w:color w:val="auto"/>
          <w:sz w:val="36"/>
          <w:szCs w:val="36"/>
          <w:highlight w:val="none"/>
        </w:rPr>
        <w:br w:type="page"/>
      </w:r>
      <w:r>
        <w:rPr>
          <w:rFonts w:hint="eastAsia" w:ascii="宋体" w:hAnsi="宋体" w:cs="宋体"/>
          <w:b/>
          <w:color w:val="auto"/>
          <w:sz w:val="36"/>
          <w:szCs w:val="36"/>
          <w:highlight w:val="none"/>
        </w:rPr>
        <w:t>第四部分  开标和评标</w:t>
      </w:r>
    </w:p>
    <w:p>
      <w:pPr>
        <w:pStyle w:val="88"/>
        <w:snapToGrid w:val="0"/>
        <w:spacing w:before="0" w:after="0" w:line="420" w:lineRule="exact"/>
        <w:ind w:left="0" w:right="0" w:firstLine="562" w:firstLineChars="200"/>
        <w:jc w:val="left"/>
        <w:rPr>
          <w:rFonts w:ascii="宋体" w:hAnsi="宋体" w:cs="宋体"/>
          <w:b/>
          <w:color w:val="auto"/>
          <w:kern w:val="2"/>
          <w:sz w:val="28"/>
          <w:szCs w:val="28"/>
          <w:highlight w:val="none"/>
        </w:rPr>
      </w:pPr>
      <w:r>
        <w:rPr>
          <w:rFonts w:hint="eastAsia" w:ascii="宋体" w:hAnsi="宋体" w:cs="宋体"/>
          <w:b/>
          <w:color w:val="auto"/>
          <w:kern w:val="2"/>
          <w:sz w:val="28"/>
          <w:szCs w:val="28"/>
          <w:highlight w:val="none"/>
        </w:rPr>
        <w:t>一、开标</w:t>
      </w:r>
    </w:p>
    <w:p>
      <w:pPr>
        <w:tabs>
          <w:tab w:val="left" w:pos="3585"/>
        </w:tabs>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见面开标模式：投标人在指定地点参加开标会。</w:t>
      </w:r>
    </w:p>
    <w:p>
      <w:pPr>
        <w:pStyle w:val="88"/>
        <w:snapToGrid w:val="0"/>
        <w:spacing w:before="0" w:after="0" w:line="420" w:lineRule="exact"/>
        <w:ind w:left="0" w:right="0" w:firstLine="562" w:firstLineChars="200"/>
        <w:jc w:val="left"/>
        <w:rPr>
          <w:rFonts w:ascii="宋体" w:hAnsi="宋体" w:cs="宋体"/>
          <w:b/>
          <w:color w:val="auto"/>
          <w:kern w:val="2"/>
          <w:sz w:val="28"/>
          <w:szCs w:val="28"/>
          <w:highlight w:val="none"/>
        </w:rPr>
      </w:pPr>
      <w:r>
        <w:rPr>
          <w:rFonts w:hint="eastAsia" w:ascii="宋体" w:hAnsi="宋体" w:cs="宋体"/>
          <w:b/>
          <w:color w:val="auto"/>
          <w:kern w:val="2"/>
          <w:sz w:val="28"/>
          <w:szCs w:val="28"/>
          <w:highlight w:val="none"/>
        </w:rPr>
        <w:t>二、评标流程和评标标准</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采用综合评分法。分资格审查、商务技术文件、价格文件、三部分评审，总分值为100分，加分和减分因素除外。</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首先由招标人对投标人资格进行审查，然后评标委员会对符合资格的投标人的投标文件进行符合性审查，最后评标委员会对符合性审查合格的投标文件商务、技术部分进行评估，综合比较与评价。待商务技术文件评审结束后，进行价格文件的开启、评审。投标人商务、技术部分和价格部分的合计分值，为该投标人的评标总得分。</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评标结果按评审后得分由高到低顺序排列。得分相同的，按投标报价由低到高顺序排列。得分且投标报价相同的并列。投标文件满足招标文件全部实质性要求，且按照评审因素的量化指标评审得分前三名的投标人为中标候选人。</w:t>
      </w:r>
    </w:p>
    <w:p>
      <w:pPr>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评委在认真审阅投标文件的基础上，根据各投标文件的响应程度独立评判，不得统一打分。</w:t>
      </w:r>
    </w:p>
    <w:p>
      <w:pPr>
        <w:adjustRightInd w:val="0"/>
        <w:snapToGrid w:val="0"/>
        <w:spacing w:line="420" w:lineRule="exact"/>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（一）招标人（代表）对投标人资格进行审查。</w:t>
      </w:r>
    </w:p>
    <w:p>
      <w:pPr>
        <w:pStyle w:val="92"/>
        <w:adjustRightInd w:val="0"/>
        <w:snapToGrid w:val="0"/>
        <w:spacing w:line="420" w:lineRule="exact"/>
        <w:ind w:firstLine="560" w:firstLineChars="200"/>
        <w:rPr>
          <w:rFonts w:ascii="宋体" w:eastAsia="宋体" w:cs="宋体"/>
          <w:color w:val="auto"/>
          <w:sz w:val="28"/>
          <w:highlight w:val="none"/>
        </w:rPr>
      </w:pPr>
      <w:r>
        <w:rPr>
          <w:rFonts w:hint="eastAsia" w:ascii="宋体" w:eastAsia="宋体" w:cs="宋体"/>
          <w:color w:val="auto"/>
          <w:sz w:val="28"/>
          <w:highlight w:val="none"/>
        </w:rPr>
        <w:t>投标人资格不合格的，其投标文件判定为无效投标文件。</w:t>
      </w:r>
    </w:p>
    <w:p>
      <w:pPr>
        <w:adjustRightInd w:val="0"/>
        <w:snapToGrid w:val="0"/>
        <w:spacing w:line="420" w:lineRule="exact"/>
        <w:ind w:firstLine="562" w:firstLineChars="200"/>
        <w:jc w:val="left"/>
        <w:rPr>
          <w:rFonts w:ascii="宋体" w:hAnsi="宋体" w:cs="宋体"/>
          <w:b/>
          <w:color w:val="auto"/>
          <w:sz w:val="28"/>
          <w:szCs w:val="28"/>
          <w:highlight w:val="none"/>
        </w:rPr>
      </w:pPr>
      <w:r>
        <w:rPr>
          <w:rFonts w:hint="eastAsia" w:ascii="宋体" w:hAnsi="宋体" w:cs="宋体"/>
          <w:b/>
          <w:color w:val="auto"/>
          <w:sz w:val="28"/>
          <w:szCs w:val="28"/>
          <w:highlight w:val="none"/>
        </w:rPr>
        <w:t>（二）评标委员会对符合资格投标人的投标文件进行符合性审查。</w:t>
      </w:r>
    </w:p>
    <w:p>
      <w:pPr>
        <w:pStyle w:val="92"/>
        <w:adjustRightInd w:val="0"/>
        <w:snapToGrid w:val="0"/>
        <w:spacing w:line="420" w:lineRule="exact"/>
        <w:ind w:firstLine="560" w:firstLineChars="200"/>
        <w:rPr>
          <w:rFonts w:ascii="宋体" w:eastAsia="宋体" w:cs="宋体"/>
          <w:color w:val="auto"/>
          <w:sz w:val="28"/>
          <w:highlight w:val="none"/>
        </w:rPr>
      </w:pPr>
      <w:r>
        <w:rPr>
          <w:rFonts w:hint="eastAsia" w:ascii="宋体" w:eastAsia="宋体" w:cs="宋体"/>
          <w:color w:val="auto"/>
          <w:sz w:val="28"/>
          <w:highlight w:val="none"/>
        </w:rPr>
        <w:t xml:space="preserve">未通过符合性审查的投标文件，将被判为不满足招标文件实质性要求。 </w:t>
      </w:r>
    </w:p>
    <w:p>
      <w:pPr>
        <w:adjustRightInd w:val="0"/>
        <w:snapToGrid w:val="0"/>
        <w:spacing w:line="420" w:lineRule="exact"/>
        <w:ind w:firstLine="562" w:firstLineChars="200"/>
        <w:jc w:val="left"/>
        <w:rPr>
          <w:rFonts w:ascii="宋体" w:hAnsi="宋体" w:cs="宋体"/>
          <w:color w:val="auto"/>
          <w:kern w:val="0"/>
          <w:sz w:val="28"/>
          <w:szCs w:val="28"/>
          <w:highlight w:val="none"/>
          <w:lang w:bidi="ar"/>
        </w:rPr>
      </w:pPr>
      <w:r>
        <w:rPr>
          <w:rFonts w:hint="eastAsia" w:ascii="宋体" w:hAnsi="宋体" w:cs="宋体"/>
          <w:b/>
          <w:color w:val="auto"/>
          <w:sz w:val="28"/>
          <w:szCs w:val="28"/>
          <w:highlight w:val="none"/>
        </w:rPr>
        <w:t>（</w:t>
      </w:r>
      <w:r>
        <w:rPr>
          <w:rFonts w:hint="eastAsia" w:ascii="宋体" w:hAnsi="宋体" w:cs="宋体"/>
          <w:b/>
          <w:color w:val="auto"/>
          <w:sz w:val="28"/>
          <w:szCs w:val="28"/>
          <w:highlight w:val="none"/>
          <w:lang w:val="zh-CN"/>
        </w:rPr>
        <w:t>三</w:t>
      </w:r>
      <w:r>
        <w:rPr>
          <w:rFonts w:hint="eastAsia" w:ascii="宋体" w:hAnsi="宋体" w:cs="宋体"/>
          <w:b/>
          <w:color w:val="auto"/>
          <w:sz w:val="28"/>
          <w:szCs w:val="28"/>
          <w:highlight w:val="none"/>
        </w:rPr>
        <w:t>）</w:t>
      </w:r>
      <w:r>
        <w:rPr>
          <w:rFonts w:hint="eastAsia" w:ascii="宋体" w:hAnsi="宋体" w:cs="宋体"/>
          <w:b/>
          <w:color w:val="auto"/>
          <w:sz w:val="28"/>
          <w:szCs w:val="28"/>
          <w:highlight w:val="none"/>
          <w:lang w:val="zh-CN"/>
        </w:rPr>
        <w:t>商务技术分</w:t>
      </w:r>
      <w:r>
        <w:rPr>
          <w:rFonts w:hint="eastAsia" w:ascii="宋体" w:hAnsi="宋体" w:cs="宋体"/>
          <w:color w:val="auto"/>
          <w:kern w:val="0"/>
          <w:sz w:val="28"/>
          <w:szCs w:val="28"/>
          <w:highlight w:val="none"/>
          <w:lang w:bidi="ar"/>
        </w:rPr>
        <w:t>：</w:t>
      </w:r>
      <w:r>
        <w:rPr>
          <w:rFonts w:hint="eastAsia" w:ascii="宋体" w:hAnsi="宋体" w:cs="宋体"/>
          <w:color w:val="auto"/>
          <w:kern w:val="0"/>
          <w:sz w:val="28"/>
          <w:szCs w:val="28"/>
          <w:highlight w:val="none"/>
          <w:lang w:val="en-US" w:eastAsia="zh-CN" w:bidi="ar"/>
        </w:rPr>
        <w:t>6</w:t>
      </w:r>
      <w:r>
        <w:rPr>
          <w:rFonts w:hint="eastAsia" w:ascii="宋体" w:hAnsi="宋体" w:cs="宋体"/>
          <w:color w:val="auto"/>
          <w:kern w:val="0"/>
          <w:sz w:val="28"/>
          <w:szCs w:val="28"/>
          <w:highlight w:val="none"/>
          <w:lang w:bidi="ar"/>
        </w:rPr>
        <w:t>0分</w:t>
      </w:r>
    </w:p>
    <w:p>
      <w:pPr>
        <w:autoSpaceDE w:val="0"/>
        <w:autoSpaceDN w:val="0"/>
        <w:adjustRightInd w:val="0"/>
        <w:snapToGrid w:val="0"/>
        <w:spacing w:line="4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各投标人得分为评委会成员评分的算术平均分，分值保留小数点后两位。</w:t>
      </w:r>
    </w:p>
    <w:tbl>
      <w:tblPr>
        <w:tblStyle w:val="37"/>
        <w:tblW w:w="4998" w:type="pct"/>
        <w:jc w:val="center"/>
        <w:tblLayout w:type="fixed"/>
        <w:tblCellMar>
          <w:top w:w="0" w:type="dxa"/>
          <w:left w:w="108" w:type="dxa"/>
          <w:bottom w:w="0" w:type="dxa"/>
          <w:right w:w="108" w:type="dxa"/>
        </w:tblCellMar>
      </w:tblPr>
      <w:tblGrid>
        <w:gridCol w:w="710"/>
        <w:gridCol w:w="1320"/>
        <w:gridCol w:w="810"/>
        <w:gridCol w:w="5685"/>
      </w:tblGrid>
      <w:tr>
        <w:tblPrEx>
          <w:tblCellMar>
            <w:top w:w="0" w:type="dxa"/>
            <w:left w:w="108" w:type="dxa"/>
            <w:bottom w:w="0" w:type="dxa"/>
            <w:right w:w="108" w:type="dxa"/>
          </w:tblCellMar>
        </w:tblPrEx>
        <w:trPr>
          <w:trHeight w:val="757" w:hRule="atLeast"/>
          <w:jc w:val="center"/>
        </w:trPr>
        <w:tc>
          <w:tcPr>
            <w:tcW w:w="416"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pacing w:line="460" w:lineRule="exact"/>
              <w:ind w:left="0" w:right="0" w:firstLine="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774"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pacing w:line="460" w:lineRule="exact"/>
              <w:ind w:left="0" w:right="0" w:firstLine="0"/>
              <w:jc w:val="center"/>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评审项目</w:t>
            </w:r>
          </w:p>
        </w:tc>
        <w:tc>
          <w:tcPr>
            <w:tcW w:w="475"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pacing w:line="460" w:lineRule="exact"/>
              <w:ind w:left="0" w:right="0" w:firstLine="0"/>
              <w:jc w:val="center"/>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分数</w:t>
            </w:r>
          </w:p>
        </w:tc>
        <w:tc>
          <w:tcPr>
            <w:tcW w:w="3334"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pacing w:line="460" w:lineRule="exact"/>
              <w:ind w:left="0" w:right="0" w:firstLine="0"/>
              <w:jc w:val="center"/>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16" w:type="pct"/>
            <w:vMerge w:val="restart"/>
            <w:vAlign w:val="center"/>
          </w:tcPr>
          <w:p>
            <w:pPr>
              <w:keepNext w:val="0"/>
              <w:keepLines w:val="0"/>
              <w:pageBreakBefore w:val="0"/>
              <w:kinsoku/>
              <w:wordWrap/>
              <w:overflowPunct/>
              <w:topLinePunct w:val="0"/>
              <w:autoSpaceDE w:val="0"/>
              <w:autoSpaceDN w:val="0"/>
              <w:bidi w:val="0"/>
              <w:adjustRightInd w:val="0"/>
              <w:snapToGrid w:val="0"/>
              <w:spacing w:line="460" w:lineRule="exact"/>
              <w:ind w:left="0" w:right="0" w:firstLine="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74" w:type="pct"/>
            <w:vMerge w:val="restart"/>
            <w:vAlign w:val="center"/>
          </w:tcPr>
          <w:p>
            <w:pPr>
              <w:keepNext w:val="0"/>
              <w:keepLines w:val="0"/>
              <w:pageBreakBefore w:val="0"/>
              <w:kinsoku/>
              <w:wordWrap/>
              <w:overflowPunct/>
              <w:topLinePunct w:val="0"/>
              <w:autoSpaceDE w:val="0"/>
              <w:autoSpaceDN w:val="0"/>
              <w:bidi w:val="0"/>
              <w:adjustRightInd w:val="0"/>
              <w:snapToGrid w:val="0"/>
              <w:spacing w:line="460" w:lineRule="exact"/>
              <w:ind w:left="0" w:right="0" w:firstLine="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技术</w:t>
            </w:r>
            <w:r>
              <w:rPr>
                <w:rFonts w:hint="eastAsia" w:ascii="宋体" w:hAnsi="宋体" w:eastAsia="宋体" w:cs="宋体"/>
                <w:color w:val="auto"/>
                <w:sz w:val="24"/>
                <w:szCs w:val="24"/>
                <w:highlight w:val="none"/>
              </w:rPr>
              <w:t>参数</w:t>
            </w:r>
          </w:p>
        </w:tc>
        <w:tc>
          <w:tcPr>
            <w:tcW w:w="475" w:type="pct"/>
            <w:vMerge w:val="restart"/>
            <w:vAlign w:val="center"/>
          </w:tcPr>
          <w:p>
            <w:pPr>
              <w:keepNext w:val="0"/>
              <w:keepLines w:val="0"/>
              <w:pageBreakBefore w:val="0"/>
              <w:kinsoku/>
              <w:wordWrap/>
              <w:overflowPunct/>
              <w:topLinePunct w:val="0"/>
              <w:bidi w:val="0"/>
              <w:spacing w:line="460" w:lineRule="exact"/>
              <w:ind w:left="0" w:right="0" w:firstLine="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w:t>
            </w:r>
          </w:p>
        </w:tc>
        <w:tc>
          <w:tcPr>
            <w:tcW w:w="3334" w:type="pct"/>
            <w:vAlign w:val="center"/>
          </w:tcPr>
          <w:p>
            <w:pPr>
              <w:keepNext w:val="0"/>
              <w:keepLines w:val="0"/>
              <w:pageBreakBefore w:val="0"/>
              <w:kinsoku/>
              <w:wordWrap/>
              <w:overflowPunct/>
              <w:topLinePunct w:val="0"/>
              <w:bidi w:val="0"/>
              <w:spacing w:line="460" w:lineRule="exact"/>
              <w:ind w:left="0" w:right="0" w:firstLine="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SA"/>
              </w:rPr>
              <w:t>（1）所投电梯的技术参数完全满足招标文件采购需求及技术性能参数（室内扶梯技术要求）的得6分；每一项负偏离扣2分，扣完为止，偏离4项及以上作为废标处理。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16" w:type="pct"/>
            <w:vMerge w:val="continue"/>
            <w:vAlign w:val="center"/>
          </w:tcPr>
          <w:p>
            <w:pPr>
              <w:keepNext w:val="0"/>
              <w:keepLines w:val="0"/>
              <w:pageBreakBefore w:val="0"/>
              <w:kinsoku/>
              <w:wordWrap/>
              <w:overflowPunct/>
              <w:topLinePunct w:val="0"/>
              <w:autoSpaceDE w:val="0"/>
              <w:autoSpaceDN w:val="0"/>
              <w:bidi w:val="0"/>
              <w:adjustRightInd w:val="0"/>
              <w:snapToGrid w:val="0"/>
              <w:spacing w:line="460" w:lineRule="exact"/>
              <w:ind w:left="0" w:right="0" w:firstLine="0"/>
              <w:jc w:val="center"/>
              <w:textAlignment w:val="auto"/>
              <w:rPr>
                <w:rFonts w:hint="eastAsia" w:ascii="宋体" w:hAnsi="宋体" w:eastAsia="宋体" w:cs="宋体"/>
                <w:color w:val="auto"/>
                <w:sz w:val="24"/>
                <w:szCs w:val="24"/>
                <w:highlight w:val="none"/>
              </w:rPr>
            </w:pPr>
          </w:p>
        </w:tc>
        <w:tc>
          <w:tcPr>
            <w:tcW w:w="774" w:type="pct"/>
            <w:vMerge w:val="continue"/>
            <w:vAlign w:val="center"/>
          </w:tcPr>
          <w:p>
            <w:pPr>
              <w:keepNext w:val="0"/>
              <w:keepLines w:val="0"/>
              <w:pageBreakBefore w:val="0"/>
              <w:kinsoku/>
              <w:wordWrap/>
              <w:overflowPunct/>
              <w:topLinePunct w:val="0"/>
              <w:autoSpaceDE w:val="0"/>
              <w:autoSpaceDN w:val="0"/>
              <w:bidi w:val="0"/>
              <w:adjustRightInd w:val="0"/>
              <w:snapToGrid w:val="0"/>
              <w:spacing w:line="460" w:lineRule="exact"/>
              <w:ind w:left="0" w:right="0" w:firstLine="0"/>
              <w:jc w:val="center"/>
              <w:textAlignment w:val="auto"/>
              <w:rPr>
                <w:rFonts w:hint="eastAsia" w:ascii="宋体" w:hAnsi="宋体" w:eastAsia="宋体" w:cs="宋体"/>
                <w:color w:val="auto"/>
                <w:sz w:val="24"/>
                <w:szCs w:val="24"/>
                <w:highlight w:val="none"/>
                <w:lang w:val="zh-CN"/>
              </w:rPr>
            </w:pPr>
          </w:p>
        </w:tc>
        <w:tc>
          <w:tcPr>
            <w:tcW w:w="475" w:type="pct"/>
            <w:vMerge w:val="continue"/>
            <w:vAlign w:val="center"/>
          </w:tcPr>
          <w:p>
            <w:pPr>
              <w:keepNext w:val="0"/>
              <w:keepLines w:val="0"/>
              <w:pageBreakBefore w:val="0"/>
              <w:kinsoku/>
              <w:wordWrap/>
              <w:overflowPunct/>
              <w:topLinePunct w:val="0"/>
              <w:bidi w:val="0"/>
              <w:spacing w:line="460" w:lineRule="exact"/>
              <w:ind w:left="0" w:right="0" w:firstLine="0"/>
              <w:jc w:val="center"/>
              <w:textAlignment w:val="auto"/>
              <w:rPr>
                <w:rFonts w:hint="eastAsia" w:ascii="宋体" w:hAnsi="宋体" w:eastAsia="宋体" w:cs="宋体"/>
                <w:color w:val="auto"/>
                <w:sz w:val="24"/>
                <w:szCs w:val="24"/>
                <w:highlight w:val="none"/>
              </w:rPr>
            </w:pPr>
          </w:p>
        </w:tc>
        <w:tc>
          <w:tcPr>
            <w:tcW w:w="3334" w:type="pct"/>
            <w:vAlign w:val="center"/>
          </w:tcPr>
          <w:p>
            <w:pPr>
              <w:keepNext w:val="0"/>
              <w:keepLines w:val="0"/>
              <w:pageBreakBefore w:val="0"/>
              <w:kinsoku/>
              <w:wordWrap/>
              <w:overflowPunct/>
              <w:topLinePunct w:val="0"/>
              <w:bidi w:val="0"/>
              <w:spacing w:line="460" w:lineRule="exact"/>
              <w:ind w:left="0" w:right="0" w:firstLine="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（2）所投电梯的安全功能完全满足招标文件采购需求及技术性能参数（室内扶梯安全功能要求）的得3分；每一项负偏离扣1分，扣完为止，偏离4项及以上作为废标处理。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16" w:type="pct"/>
            <w:vMerge w:val="continue"/>
            <w:vAlign w:val="center"/>
          </w:tcPr>
          <w:p>
            <w:pPr>
              <w:keepNext w:val="0"/>
              <w:keepLines w:val="0"/>
              <w:pageBreakBefore w:val="0"/>
              <w:kinsoku/>
              <w:wordWrap/>
              <w:overflowPunct/>
              <w:topLinePunct w:val="0"/>
              <w:autoSpaceDE w:val="0"/>
              <w:autoSpaceDN w:val="0"/>
              <w:bidi w:val="0"/>
              <w:adjustRightInd w:val="0"/>
              <w:snapToGrid w:val="0"/>
              <w:spacing w:line="460" w:lineRule="exact"/>
              <w:ind w:left="0" w:right="0" w:firstLine="0"/>
              <w:jc w:val="center"/>
              <w:textAlignment w:val="auto"/>
              <w:rPr>
                <w:rFonts w:hint="eastAsia" w:ascii="宋体" w:hAnsi="宋体" w:eastAsia="宋体" w:cs="宋体"/>
                <w:color w:val="auto"/>
                <w:sz w:val="24"/>
                <w:szCs w:val="24"/>
                <w:highlight w:val="none"/>
              </w:rPr>
            </w:pPr>
          </w:p>
        </w:tc>
        <w:tc>
          <w:tcPr>
            <w:tcW w:w="774" w:type="pct"/>
            <w:vMerge w:val="continue"/>
            <w:vAlign w:val="center"/>
          </w:tcPr>
          <w:p>
            <w:pPr>
              <w:keepNext w:val="0"/>
              <w:keepLines w:val="0"/>
              <w:pageBreakBefore w:val="0"/>
              <w:kinsoku/>
              <w:wordWrap/>
              <w:overflowPunct/>
              <w:topLinePunct w:val="0"/>
              <w:autoSpaceDE w:val="0"/>
              <w:autoSpaceDN w:val="0"/>
              <w:bidi w:val="0"/>
              <w:adjustRightInd w:val="0"/>
              <w:snapToGrid w:val="0"/>
              <w:spacing w:line="460" w:lineRule="exact"/>
              <w:ind w:left="0" w:right="0" w:firstLine="0"/>
              <w:jc w:val="center"/>
              <w:textAlignment w:val="auto"/>
              <w:rPr>
                <w:rFonts w:hint="eastAsia" w:ascii="宋体" w:hAnsi="宋体" w:eastAsia="宋体" w:cs="宋体"/>
                <w:color w:val="auto"/>
                <w:sz w:val="24"/>
                <w:szCs w:val="24"/>
                <w:highlight w:val="none"/>
                <w:lang w:val="zh-CN"/>
              </w:rPr>
            </w:pPr>
          </w:p>
        </w:tc>
        <w:tc>
          <w:tcPr>
            <w:tcW w:w="475" w:type="pct"/>
            <w:vMerge w:val="continue"/>
            <w:vAlign w:val="center"/>
          </w:tcPr>
          <w:p>
            <w:pPr>
              <w:keepNext w:val="0"/>
              <w:keepLines w:val="0"/>
              <w:pageBreakBefore w:val="0"/>
              <w:kinsoku/>
              <w:wordWrap/>
              <w:overflowPunct/>
              <w:topLinePunct w:val="0"/>
              <w:bidi w:val="0"/>
              <w:spacing w:line="460" w:lineRule="exact"/>
              <w:ind w:left="0" w:right="0" w:firstLine="0"/>
              <w:jc w:val="center"/>
              <w:textAlignment w:val="auto"/>
              <w:rPr>
                <w:rFonts w:hint="eastAsia" w:ascii="宋体" w:hAnsi="宋体" w:eastAsia="宋体" w:cs="宋体"/>
                <w:color w:val="auto"/>
                <w:sz w:val="24"/>
                <w:szCs w:val="24"/>
                <w:highlight w:val="none"/>
              </w:rPr>
            </w:pPr>
          </w:p>
        </w:tc>
        <w:tc>
          <w:tcPr>
            <w:tcW w:w="3334" w:type="pct"/>
            <w:vAlign w:val="center"/>
          </w:tcPr>
          <w:p>
            <w:pPr>
              <w:keepNext w:val="0"/>
              <w:keepLines w:val="0"/>
              <w:pageBreakBefore w:val="0"/>
              <w:kinsoku/>
              <w:wordWrap/>
              <w:overflowPunct/>
              <w:topLinePunct w:val="0"/>
              <w:bidi w:val="0"/>
              <w:spacing w:line="460" w:lineRule="exact"/>
              <w:ind w:left="0" w:right="0" w:firstLine="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）主机及控制系统IP防护等级（满分</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分）</w:t>
            </w:r>
          </w:p>
          <w:p>
            <w:pPr>
              <w:keepNext w:val="0"/>
              <w:keepLines w:val="0"/>
              <w:pageBreakBefore w:val="0"/>
              <w:kinsoku/>
              <w:wordWrap/>
              <w:overflowPunct/>
              <w:topLinePunct w:val="0"/>
              <w:bidi w:val="0"/>
              <w:spacing w:line="460" w:lineRule="exact"/>
              <w:ind w:left="0" w:right="0" w:firstLine="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IP防护等级≥55得</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分，IP防护等级≥43得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分，IP防护等级≥32得1分。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416" w:type="pct"/>
            <w:vMerge w:val="continue"/>
            <w:vAlign w:val="center"/>
          </w:tcPr>
          <w:p>
            <w:pPr>
              <w:keepNext w:val="0"/>
              <w:keepLines w:val="0"/>
              <w:pageBreakBefore w:val="0"/>
              <w:kinsoku/>
              <w:wordWrap/>
              <w:overflowPunct/>
              <w:topLinePunct w:val="0"/>
              <w:autoSpaceDE w:val="0"/>
              <w:autoSpaceDN w:val="0"/>
              <w:bidi w:val="0"/>
              <w:adjustRightInd w:val="0"/>
              <w:snapToGrid w:val="0"/>
              <w:spacing w:line="460" w:lineRule="exact"/>
              <w:ind w:left="0" w:right="0" w:firstLine="0"/>
              <w:jc w:val="center"/>
              <w:textAlignment w:val="auto"/>
              <w:rPr>
                <w:rFonts w:hint="eastAsia" w:ascii="宋体" w:hAnsi="宋体" w:eastAsia="宋体" w:cs="宋体"/>
                <w:color w:val="auto"/>
                <w:sz w:val="24"/>
                <w:szCs w:val="24"/>
                <w:highlight w:val="none"/>
              </w:rPr>
            </w:pPr>
          </w:p>
        </w:tc>
        <w:tc>
          <w:tcPr>
            <w:tcW w:w="774" w:type="pct"/>
            <w:vMerge w:val="continue"/>
            <w:vAlign w:val="center"/>
          </w:tcPr>
          <w:p>
            <w:pPr>
              <w:keepNext w:val="0"/>
              <w:keepLines w:val="0"/>
              <w:pageBreakBefore w:val="0"/>
              <w:kinsoku/>
              <w:wordWrap/>
              <w:overflowPunct/>
              <w:topLinePunct w:val="0"/>
              <w:autoSpaceDE w:val="0"/>
              <w:autoSpaceDN w:val="0"/>
              <w:bidi w:val="0"/>
              <w:adjustRightInd w:val="0"/>
              <w:snapToGrid w:val="0"/>
              <w:spacing w:line="460" w:lineRule="exact"/>
              <w:ind w:left="0" w:right="0" w:firstLine="0"/>
              <w:jc w:val="center"/>
              <w:textAlignment w:val="auto"/>
              <w:rPr>
                <w:rFonts w:hint="eastAsia" w:ascii="宋体" w:hAnsi="宋体" w:eastAsia="宋体" w:cs="宋体"/>
                <w:color w:val="auto"/>
                <w:sz w:val="24"/>
                <w:szCs w:val="24"/>
                <w:highlight w:val="none"/>
                <w:lang w:val="zh-CN"/>
              </w:rPr>
            </w:pPr>
          </w:p>
        </w:tc>
        <w:tc>
          <w:tcPr>
            <w:tcW w:w="475" w:type="pct"/>
            <w:vMerge w:val="continue"/>
            <w:vAlign w:val="center"/>
          </w:tcPr>
          <w:p>
            <w:pPr>
              <w:keepNext w:val="0"/>
              <w:keepLines w:val="0"/>
              <w:pageBreakBefore w:val="0"/>
              <w:kinsoku/>
              <w:wordWrap/>
              <w:overflowPunct/>
              <w:topLinePunct w:val="0"/>
              <w:bidi w:val="0"/>
              <w:spacing w:line="460" w:lineRule="exact"/>
              <w:ind w:left="0" w:right="0" w:firstLine="0"/>
              <w:jc w:val="center"/>
              <w:textAlignment w:val="auto"/>
              <w:rPr>
                <w:rFonts w:hint="eastAsia" w:ascii="宋体" w:hAnsi="宋体" w:eastAsia="宋体" w:cs="宋体"/>
                <w:color w:val="auto"/>
                <w:sz w:val="24"/>
                <w:szCs w:val="24"/>
                <w:highlight w:val="none"/>
              </w:rPr>
            </w:pPr>
          </w:p>
        </w:tc>
        <w:tc>
          <w:tcPr>
            <w:tcW w:w="3334" w:type="pct"/>
            <w:vAlign w:val="center"/>
          </w:tcPr>
          <w:p>
            <w:pPr>
              <w:pStyle w:val="85"/>
              <w:keepNext w:val="0"/>
              <w:keepLines w:val="0"/>
              <w:pageBreakBefore w:val="0"/>
              <w:kinsoku/>
              <w:wordWrap/>
              <w:overflowPunct/>
              <w:topLinePunct w:val="0"/>
              <w:bidi w:val="0"/>
              <w:spacing w:line="460" w:lineRule="exact"/>
              <w:ind w:left="0" w:right="0"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）梯级静载破断力，梯级的破断载荷达到26KN得2分，破断载荷达到20KN得1分。需提供CNAS权威机构证明文件；不提供不得分）。</w:t>
            </w:r>
            <w:r>
              <w:rPr>
                <w:rFonts w:hint="eastAsia" w:ascii="宋体" w:hAnsi="宋体" w:eastAsia="宋体" w:cs="宋体"/>
                <w:color w:val="auto"/>
                <w:sz w:val="24"/>
                <w:szCs w:val="24"/>
                <w:highlight w:val="none"/>
                <w:lang w:eastAsia="zh-CN"/>
              </w:rPr>
              <w:t>（满分</w:t>
            </w:r>
            <w:r>
              <w:rPr>
                <w:rFonts w:hint="eastAsia" w:ascii="宋体" w:hAnsi="宋体" w:eastAsia="宋体" w:cs="宋体"/>
                <w:color w:val="auto"/>
                <w:sz w:val="24"/>
                <w:szCs w:val="24"/>
                <w:highlight w:val="none"/>
                <w:lang w:val="en-US" w:eastAsia="zh-CN"/>
              </w:rPr>
              <w:t>2分</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416" w:type="pct"/>
            <w:vMerge w:val="continue"/>
            <w:vAlign w:val="center"/>
          </w:tcPr>
          <w:p>
            <w:pPr>
              <w:keepNext w:val="0"/>
              <w:keepLines w:val="0"/>
              <w:pageBreakBefore w:val="0"/>
              <w:kinsoku/>
              <w:wordWrap/>
              <w:overflowPunct/>
              <w:topLinePunct w:val="0"/>
              <w:autoSpaceDE w:val="0"/>
              <w:autoSpaceDN w:val="0"/>
              <w:bidi w:val="0"/>
              <w:adjustRightInd w:val="0"/>
              <w:snapToGrid w:val="0"/>
              <w:spacing w:line="460" w:lineRule="exact"/>
              <w:ind w:left="0" w:right="0" w:firstLine="0"/>
              <w:jc w:val="center"/>
              <w:textAlignment w:val="auto"/>
              <w:rPr>
                <w:rFonts w:hint="eastAsia" w:ascii="宋体" w:hAnsi="宋体" w:eastAsia="宋体" w:cs="宋体"/>
                <w:color w:val="auto"/>
                <w:sz w:val="24"/>
                <w:szCs w:val="24"/>
                <w:highlight w:val="none"/>
              </w:rPr>
            </w:pPr>
          </w:p>
        </w:tc>
        <w:tc>
          <w:tcPr>
            <w:tcW w:w="774" w:type="pct"/>
            <w:vMerge w:val="continue"/>
            <w:vAlign w:val="center"/>
          </w:tcPr>
          <w:p>
            <w:pPr>
              <w:keepNext w:val="0"/>
              <w:keepLines w:val="0"/>
              <w:pageBreakBefore w:val="0"/>
              <w:kinsoku/>
              <w:wordWrap/>
              <w:overflowPunct/>
              <w:topLinePunct w:val="0"/>
              <w:autoSpaceDE w:val="0"/>
              <w:autoSpaceDN w:val="0"/>
              <w:bidi w:val="0"/>
              <w:adjustRightInd w:val="0"/>
              <w:snapToGrid w:val="0"/>
              <w:spacing w:line="460" w:lineRule="exact"/>
              <w:ind w:left="0" w:right="0" w:firstLine="0"/>
              <w:jc w:val="center"/>
              <w:textAlignment w:val="auto"/>
              <w:rPr>
                <w:rFonts w:hint="eastAsia" w:ascii="宋体" w:hAnsi="宋体" w:eastAsia="宋体" w:cs="宋体"/>
                <w:color w:val="auto"/>
                <w:sz w:val="24"/>
                <w:szCs w:val="24"/>
                <w:highlight w:val="none"/>
                <w:lang w:val="zh-CN"/>
              </w:rPr>
            </w:pPr>
          </w:p>
        </w:tc>
        <w:tc>
          <w:tcPr>
            <w:tcW w:w="475" w:type="pct"/>
            <w:vMerge w:val="continue"/>
            <w:vAlign w:val="center"/>
          </w:tcPr>
          <w:p>
            <w:pPr>
              <w:keepNext w:val="0"/>
              <w:keepLines w:val="0"/>
              <w:pageBreakBefore w:val="0"/>
              <w:kinsoku/>
              <w:wordWrap/>
              <w:overflowPunct/>
              <w:topLinePunct w:val="0"/>
              <w:bidi w:val="0"/>
              <w:spacing w:line="460" w:lineRule="exact"/>
              <w:ind w:left="0" w:right="0" w:firstLine="0"/>
              <w:jc w:val="center"/>
              <w:textAlignment w:val="auto"/>
              <w:rPr>
                <w:rFonts w:hint="eastAsia" w:ascii="宋体" w:hAnsi="宋体" w:eastAsia="宋体" w:cs="宋体"/>
                <w:color w:val="auto"/>
                <w:sz w:val="24"/>
                <w:szCs w:val="24"/>
                <w:highlight w:val="none"/>
              </w:rPr>
            </w:pPr>
          </w:p>
        </w:tc>
        <w:tc>
          <w:tcPr>
            <w:tcW w:w="3334" w:type="pct"/>
            <w:vAlign w:val="center"/>
          </w:tcPr>
          <w:p>
            <w:pPr>
              <w:keepNext w:val="0"/>
              <w:keepLines w:val="0"/>
              <w:pageBreakBefore w:val="0"/>
              <w:kinsoku/>
              <w:wordWrap/>
              <w:overflowPunct/>
              <w:topLinePunct w:val="0"/>
              <w:bidi w:val="0"/>
              <w:spacing w:line="460" w:lineRule="exact"/>
              <w:ind w:left="0" w:right="0" w:firstLine="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）投标扶梯驱动主机电机能效等级达到国内标准能效一级、二级、三级，最高一级得</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分，第二得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分，第三得1分，其他不得分，（提供所投电梯制造厂家委托的第三方监测机构提供的证明材料且制造商单位加盖公章，且监测机构需具有CMA和CNAS认证，否则不得分）。</w:t>
            </w:r>
            <w:r>
              <w:rPr>
                <w:rFonts w:hint="eastAsia" w:ascii="宋体" w:hAnsi="宋体" w:eastAsia="宋体" w:cs="宋体"/>
                <w:color w:val="auto"/>
                <w:kern w:val="0"/>
                <w:sz w:val="24"/>
                <w:szCs w:val="24"/>
                <w:highlight w:val="none"/>
                <w:lang w:val="en-US" w:eastAsia="zh-CN"/>
              </w:rPr>
              <w:t>(满分3分)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416" w:type="pct"/>
            <w:vAlign w:val="center"/>
          </w:tcPr>
          <w:p>
            <w:pPr>
              <w:keepNext w:val="0"/>
              <w:keepLines w:val="0"/>
              <w:pageBreakBefore w:val="0"/>
              <w:kinsoku/>
              <w:wordWrap/>
              <w:overflowPunct/>
              <w:topLinePunct w:val="0"/>
              <w:autoSpaceDE w:val="0"/>
              <w:autoSpaceDN w:val="0"/>
              <w:bidi w:val="0"/>
              <w:adjustRightInd w:val="0"/>
              <w:snapToGrid w:val="0"/>
              <w:spacing w:line="460" w:lineRule="exact"/>
              <w:ind w:left="0" w:right="0" w:firstLine="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774" w:type="pct"/>
            <w:vAlign w:val="center"/>
          </w:tcPr>
          <w:p>
            <w:pPr>
              <w:keepNext w:val="0"/>
              <w:keepLines w:val="0"/>
              <w:pageBreakBefore w:val="0"/>
              <w:kinsoku/>
              <w:wordWrap/>
              <w:overflowPunct/>
              <w:topLinePunct w:val="0"/>
              <w:autoSpaceDE w:val="0"/>
              <w:autoSpaceDN w:val="0"/>
              <w:bidi w:val="0"/>
              <w:adjustRightInd w:val="0"/>
              <w:snapToGrid w:val="0"/>
              <w:spacing w:line="460" w:lineRule="exact"/>
              <w:ind w:left="0" w:right="0" w:firstLine="0"/>
              <w:jc w:val="center"/>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施工方案</w:t>
            </w:r>
          </w:p>
        </w:tc>
        <w:tc>
          <w:tcPr>
            <w:tcW w:w="475" w:type="pct"/>
            <w:vAlign w:val="center"/>
          </w:tcPr>
          <w:p>
            <w:pPr>
              <w:keepNext w:val="0"/>
              <w:keepLines w:val="0"/>
              <w:pageBreakBefore w:val="0"/>
              <w:kinsoku/>
              <w:wordWrap/>
              <w:overflowPunct/>
              <w:topLinePunct w:val="0"/>
              <w:bidi w:val="0"/>
              <w:spacing w:line="460" w:lineRule="exact"/>
              <w:ind w:left="0" w:right="0" w:firstLine="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3334" w:type="pct"/>
            <w:vAlign w:val="center"/>
          </w:tcPr>
          <w:p>
            <w:pPr>
              <w:pStyle w:val="141"/>
              <w:keepNext w:val="0"/>
              <w:keepLines w:val="0"/>
              <w:pageBreakBefore w:val="0"/>
              <w:kinsoku/>
              <w:wordWrap/>
              <w:overflowPunct/>
              <w:topLinePunct w:val="0"/>
              <w:bidi w:val="0"/>
              <w:spacing w:line="460" w:lineRule="exact"/>
              <w:ind w:left="0" w:right="0" w:firstLine="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根据各投标人的施工组织机构配备、施工组织部署、施</w:t>
            </w:r>
            <w:r>
              <w:rPr>
                <w:rFonts w:hint="eastAsia" w:ascii="宋体" w:hAnsi="宋体" w:eastAsia="宋体" w:cs="宋体"/>
                <w:color w:val="auto"/>
                <w:spacing w:val="-1"/>
                <w:sz w:val="24"/>
                <w:szCs w:val="24"/>
                <w:highlight w:val="none"/>
                <w:lang w:eastAsia="zh-CN"/>
              </w:rPr>
              <w:t>工进度</w:t>
            </w:r>
            <w:r>
              <w:rPr>
                <w:rFonts w:hint="eastAsia" w:ascii="宋体" w:hAnsi="宋体" w:eastAsia="宋体" w:cs="宋体"/>
                <w:color w:val="auto"/>
                <w:sz w:val="24"/>
                <w:szCs w:val="24"/>
                <w:highlight w:val="none"/>
                <w:lang w:eastAsia="zh-CN"/>
              </w:rPr>
              <w:t xml:space="preserve"> 计划、施工技术措施、施工质量保证措施和目标、系统</w:t>
            </w:r>
            <w:r>
              <w:rPr>
                <w:rFonts w:hint="eastAsia" w:ascii="宋体" w:hAnsi="宋体" w:eastAsia="宋体" w:cs="宋体"/>
                <w:color w:val="auto"/>
                <w:spacing w:val="-1"/>
                <w:sz w:val="24"/>
                <w:szCs w:val="24"/>
                <w:highlight w:val="none"/>
                <w:lang w:eastAsia="zh-CN"/>
              </w:rPr>
              <w:t>安装规</w:t>
            </w:r>
            <w:r>
              <w:rPr>
                <w:rFonts w:hint="eastAsia" w:ascii="宋体" w:hAnsi="宋体" w:eastAsia="宋体" w:cs="宋体"/>
                <w:color w:val="auto"/>
                <w:sz w:val="24"/>
                <w:szCs w:val="24"/>
                <w:highlight w:val="none"/>
                <w:lang w:eastAsia="zh-CN"/>
              </w:rPr>
              <w:t xml:space="preserve"> 范、文明施工和安全措施、施工的主要机具设备配置、</w:t>
            </w:r>
            <w:r>
              <w:rPr>
                <w:rFonts w:hint="eastAsia" w:ascii="宋体" w:hAnsi="宋体" w:eastAsia="宋体" w:cs="宋体"/>
                <w:color w:val="auto"/>
                <w:spacing w:val="-1"/>
                <w:sz w:val="24"/>
                <w:szCs w:val="24"/>
                <w:highlight w:val="none"/>
                <w:lang w:eastAsia="zh-CN"/>
              </w:rPr>
              <w:t>适用情</w:t>
            </w:r>
            <w:r>
              <w:rPr>
                <w:rFonts w:hint="eastAsia" w:ascii="宋体" w:hAnsi="宋体" w:eastAsia="宋体" w:cs="宋体"/>
                <w:color w:val="auto"/>
                <w:sz w:val="24"/>
                <w:szCs w:val="24"/>
                <w:highlight w:val="none"/>
                <w:lang w:eastAsia="zh-CN"/>
              </w:rPr>
              <w:t xml:space="preserve"> 况、关键施工设备的当前备有情况等、重点部位的施工工艺和要领等进行评分。（满分</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lang w:eastAsia="zh-CN"/>
              </w:rPr>
              <w:t>分）</w:t>
            </w:r>
          </w:p>
          <w:p>
            <w:pPr>
              <w:pStyle w:val="141"/>
              <w:keepNext w:val="0"/>
              <w:keepLines w:val="0"/>
              <w:pageBreakBefore w:val="0"/>
              <w:kinsoku/>
              <w:wordWrap/>
              <w:overflowPunct/>
              <w:topLinePunct w:val="0"/>
              <w:bidi w:val="0"/>
              <w:spacing w:line="460" w:lineRule="exact"/>
              <w:ind w:left="0" w:right="0" w:firstLine="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（1）施工组织机构配备、施工组织部署：</w:t>
            </w:r>
            <w:r>
              <w:rPr>
                <w:rFonts w:hint="eastAsia" w:ascii="宋体" w:hAnsi="宋体" w:eastAsia="宋体" w:cs="宋体"/>
                <w:color w:val="auto"/>
                <w:sz w:val="24"/>
                <w:szCs w:val="24"/>
                <w:highlight w:val="none"/>
                <w:lang w:val="en-US" w:eastAsia="zh-CN"/>
              </w:rPr>
              <w:t>机械配备、施工组织部署合理且完善可操作性强得2分；机械配备、施工组织部署较为合理完善可操作性较强得1分；机械配备、施工组织部署基本合理但有所欠缺可操作性一般本项不得分。</w:t>
            </w:r>
          </w:p>
          <w:p>
            <w:pPr>
              <w:pStyle w:val="141"/>
              <w:keepNext w:val="0"/>
              <w:keepLines w:val="0"/>
              <w:pageBreakBefore w:val="0"/>
              <w:kinsoku/>
              <w:wordWrap/>
              <w:overflowPunct/>
              <w:topLinePunct w:val="0"/>
              <w:bidi w:val="0"/>
              <w:spacing w:line="460" w:lineRule="exact"/>
              <w:ind w:left="0" w:right="0" w:firstLine="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（2）施工进度计划：</w:t>
            </w:r>
            <w:r>
              <w:rPr>
                <w:rFonts w:hint="eastAsia" w:ascii="宋体" w:hAnsi="宋体" w:eastAsia="宋体" w:cs="宋体"/>
                <w:color w:val="auto"/>
                <w:sz w:val="24"/>
                <w:szCs w:val="24"/>
                <w:highlight w:val="none"/>
                <w:lang w:val="en-US" w:eastAsia="zh-CN"/>
              </w:rPr>
              <w:t>施工进度计划编制合理能完全满足项目需求得2分；施工进度计划编制较为合理可以满足项目需求得1分；施工进度计划编制合理性一般，较难满足项目需求本项不得分。</w:t>
            </w:r>
          </w:p>
          <w:p>
            <w:pPr>
              <w:pStyle w:val="141"/>
              <w:keepNext w:val="0"/>
              <w:keepLines w:val="0"/>
              <w:pageBreakBefore w:val="0"/>
              <w:kinsoku/>
              <w:wordWrap/>
              <w:overflowPunct/>
              <w:topLinePunct w:val="0"/>
              <w:bidi w:val="0"/>
              <w:spacing w:line="460" w:lineRule="exact"/>
              <w:ind w:left="0" w:right="0" w:firstLine="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（3）施工技术措施、施工质量保证措施和目标：</w:t>
            </w:r>
            <w:r>
              <w:rPr>
                <w:rFonts w:hint="eastAsia" w:ascii="宋体" w:hAnsi="宋体" w:eastAsia="宋体" w:cs="宋体"/>
                <w:color w:val="auto"/>
                <w:sz w:val="24"/>
                <w:szCs w:val="24"/>
                <w:highlight w:val="none"/>
                <w:lang w:val="en-US" w:eastAsia="zh-CN"/>
              </w:rPr>
              <w:t xml:space="preserve">技术措施及质量保证措施可操作性强得2分；技术措施及质量保证措施可操作性较强得1分；技术措施及质量保证措施可操作性一般本项不得分。 </w:t>
            </w:r>
          </w:p>
          <w:p>
            <w:pPr>
              <w:pStyle w:val="141"/>
              <w:keepNext w:val="0"/>
              <w:keepLines w:val="0"/>
              <w:pageBreakBefore w:val="0"/>
              <w:kinsoku/>
              <w:wordWrap/>
              <w:overflowPunct/>
              <w:topLinePunct w:val="0"/>
              <w:bidi w:val="0"/>
              <w:spacing w:line="460" w:lineRule="exact"/>
              <w:ind w:left="0" w:right="0" w:firstLine="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（4）系统安装规范、文明施工和安全措施：</w:t>
            </w:r>
            <w:r>
              <w:rPr>
                <w:rFonts w:hint="eastAsia" w:ascii="宋体" w:hAnsi="宋体" w:eastAsia="宋体" w:cs="宋体"/>
                <w:color w:val="auto"/>
                <w:sz w:val="24"/>
                <w:szCs w:val="24"/>
                <w:highlight w:val="none"/>
                <w:lang w:val="en-US" w:eastAsia="zh-CN"/>
              </w:rPr>
              <w:t>方案措施规范且得当得2分；方案措施较为规范得当得1分；方案措施规范性一般本项不得分。</w:t>
            </w:r>
          </w:p>
          <w:p>
            <w:pPr>
              <w:pStyle w:val="141"/>
              <w:keepNext w:val="0"/>
              <w:keepLines w:val="0"/>
              <w:pageBreakBefore w:val="0"/>
              <w:kinsoku/>
              <w:wordWrap/>
              <w:overflowPunct/>
              <w:topLinePunct w:val="0"/>
              <w:bidi w:val="0"/>
              <w:spacing w:line="460" w:lineRule="exact"/>
              <w:ind w:left="0" w:right="0" w:firstLine="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（5）施工的主要机具设备配置、适用情况、关键施工设备的当前备有情况</w:t>
            </w:r>
            <w:r>
              <w:rPr>
                <w:rFonts w:hint="eastAsia" w:ascii="宋体" w:hAnsi="宋体" w:eastAsia="宋体" w:cs="宋体"/>
                <w:color w:val="auto"/>
                <w:sz w:val="24"/>
                <w:szCs w:val="24"/>
                <w:highlight w:val="none"/>
                <w:lang w:val="en-US" w:eastAsia="zh-CN"/>
              </w:rPr>
              <w:t>进行横向对比打分：设备种类齐全完全满足项目需求得2分；设备种类较为齐全基本满足项目需求得1分；设备种类有所欠缺难以满足项目需求本项不得分。</w:t>
            </w:r>
          </w:p>
          <w:p>
            <w:pPr>
              <w:pStyle w:val="141"/>
              <w:keepNext w:val="0"/>
              <w:keepLines w:val="0"/>
              <w:pageBreakBefore w:val="0"/>
              <w:kinsoku/>
              <w:wordWrap/>
              <w:overflowPunct/>
              <w:topLinePunct w:val="0"/>
              <w:bidi w:val="0"/>
              <w:spacing w:line="460" w:lineRule="exact"/>
              <w:ind w:left="0" w:right="0" w:firstLine="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（6）重点部位的施工工艺和要领：</w:t>
            </w:r>
            <w:r>
              <w:rPr>
                <w:rFonts w:hint="eastAsia" w:ascii="宋体" w:hAnsi="宋体" w:eastAsia="宋体" w:cs="宋体"/>
                <w:color w:val="auto"/>
                <w:sz w:val="24"/>
                <w:szCs w:val="24"/>
                <w:highlight w:val="none"/>
                <w:lang w:val="en-US" w:eastAsia="zh-CN"/>
              </w:rPr>
              <w:t>重点部位阐述完整清晰施工工艺可操作性强得2分；重点部位阐述较为完整施工工艺可操作性较强得1分；重点部位阐述模糊施工工艺可操作性一般本项不得分。</w:t>
            </w:r>
          </w:p>
          <w:p>
            <w:pPr>
              <w:pStyle w:val="141"/>
              <w:keepNext w:val="0"/>
              <w:keepLines w:val="0"/>
              <w:pageBreakBefore w:val="0"/>
              <w:kinsoku/>
              <w:wordWrap/>
              <w:overflowPunct/>
              <w:topLinePunct w:val="0"/>
              <w:bidi w:val="0"/>
              <w:spacing w:line="460" w:lineRule="exact"/>
              <w:ind w:left="0" w:right="0" w:firstLine="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吊装方案：供应商根据现场实际勘察情况，编写本项目吊装方案。吊装方案贴合本项目实际情况且可操作性强能够完全响应项目需求得3分；吊装方案基本贴合本项目实际情况且可操作性较强能够响应项目需求得2分；吊装方案与本项目实际情况偏离、可操作性一般难以响应项目需求得1分。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416" w:type="pct"/>
            <w:vAlign w:val="center"/>
          </w:tcPr>
          <w:p>
            <w:pPr>
              <w:keepNext w:val="0"/>
              <w:keepLines w:val="0"/>
              <w:pageBreakBefore w:val="0"/>
              <w:kinsoku/>
              <w:wordWrap/>
              <w:overflowPunct/>
              <w:topLinePunct w:val="0"/>
              <w:bidi w:val="0"/>
              <w:spacing w:line="460" w:lineRule="exact"/>
              <w:ind w:left="0" w:right="0" w:firstLine="0"/>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p>
        </w:tc>
        <w:tc>
          <w:tcPr>
            <w:tcW w:w="774" w:type="pct"/>
            <w:vAlign w:val="center"/>
          </w:tcPr>
          <w:p>
            <w:pPr>
              <w:keepNext w:val="0"/>
              <w:keepLines w:val="0"/>
              <w:pageBreakBefore w:val="0"/>
              <w:kinsoku/>
              <w:wordWrap/>
              <w:overflowPunct/>
              <w:topLinePunct w:val="0"/>
              <w:bidi w:val="0"/>
              <w:spacing w:line="460" w:lineRule="exact"/>
              <w:ind w:left="0" w:right="0" w:firstLine="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w:t>
            </w:r>
          </w:p>
        </w:tc>
        <w:tc>
          <w:tcPr>
            <w:tcW w:w="475" w:type="pct"/>
            <w:vAlign w:val="center"/>
          </w:tcPr>
          <w:p>
            <w:pPr>
              <w:keepNext w:val="0"/>
              <w:keepLines w:val="0"/>
              <w:pageBreakBefore w:val="0"/>
              <w:kinsoku/>
              <w:wordWrap/>
              <w:overflowPunct/>
              <w:topLinePunct w:val="0"/>
              <w:autoSpaceDE w:val="0"/>
              <w:autoSpaceDN w:val="0"/>
              <w:bidi w:val="0"/>
              <w:adjustRightInd w:val="0"/>
              <w:snapToGrid w:val="0"/>
              <w:spacing w:line="460" w:lineRule="exact"/>
              <w:ind w:left="0" w:right="0" w:firstLine="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3334" w:type="pct"/>
            <w:vAlign w:val="center"/>
          </w:tcPr>
          <w:p>
            <w:pPr>
              <w:pStyle w:val="141"/>
              <w:keepNext w:val="0"/>
              <w:keepLines w:val="0"/>
              <w:pageBreakBefore w:val="0"/>
              <w:kinsoku/>
              <w:wordWrap/>
              <w:overflowPunct/>
              <w:topLinePunct w:val="0"/>
              <w:bidi w:val="0"/>
              <w:spacing w:line="460" w:lineRule="exact"/>
              <w:ind w:left="0" w:right="0" w:firstLine="0"/>
              <w:jc w:val="both"/>
              <w:textAlignment w:val="auto"/>
              <w:rPr>
                <w:rFonts w:hint="eastAsia" w:ascii="宋体" w:hAnsi="宋体" w:eastAsia="宋体" w:cs="宋体"/>
                <w:color w:val="auto"/>
                <w:spacing w:val="-2"/>
                <w:sz w:val="24"/>
                <w:szCs w:val="24"/>
                <w:highlight w:val="none"/>
                <w:lang w:eastAsia="zh-CN"/>
              </w:rPr>
            </w:pPr>
            <w:r>
              <w:rPr>
                <w:rFonts w:hint="eastAsia" w:ascii="宋体" w:hAnsi="宋体" w:eastAsia="宋体" w:cs="宋体"/>
                <w:color w:val="auto"/>
                <w:spacing w:val="-2"/>
                <w:sz w:val="24"/>
                <w:szCs w:val="24"/>
                <w:highlight w:val="none"/>
                <w:lang w:eastAsia="zh-CN"/>
              </w:rPr>
              <w:t>（1）本项目最低质保期限为</w:t>
            </w:r>
            <w:r>
              <w:rPr>
                <w:rFonts w:hint="eastAsia" w:ascii="宋体" w:hAnsi="宋体" w:eastAsia="宋体" w:cs="宋体"/>
                <w:color w:val="auto"/>
                <w:spacing w:val="-2"/>
                <w:sz w:val="24"/>
                <w:szCs w:val="24"/>
                <w:highlight w:val="none"/>
                <w:lang w:val="en-US" w:eastAsia="zh-CN"/>
              </w:rPr>
              <w:t>3</w:t>
            </w:r>
            <w:r>
              <w:rPr>
                <w:rFonts w:hint="eastAsia" w:ascii="宋体" w:hAnsi="宋体" w:eastAsia="宋体" w:cs="宋体"/>
                <w:color w:val="auto"/>
                <w:spacing w:val="-2"/>
                <w:sz w:val="24"/>
                <w:szCs w:val="24"/>
                <w:highlight w:val="none"/>
                <w:lang w:eastAsia="zh-CN"/>
              </w:rPr>
              <w:t>年，在此基础上投标人质保期每增加一年的得</w:t>
            </w:r>
            <w:r>
              <w:rPr>
                <w:rFonts w:hint="eastAsia" w:ascii="宋体" w:hAnsi="宋体" w:eastAsia="宋体" w:cs="宋体"/>
                <w:color w:val="auto"/>
                <w:spacing w:val="-2"/>
                <w:sz w:val="24"/>
                <w:szCs w:val="24"/>
                <w:highlight w:val="none"/>
                <w:lang w:eastAsia="zh-CN"/>
              </w:rPr>
              <w:t xml:space="preserve"> </w:t>
            </w:r>
            <w:r>
              <w:rPr>
                <w:rFonts w:hint="eastAsia" w:ascii="宋体" w:hAnsi="宋体" w:eastAsia="宋体" w:cs="宋体"/>
                <w:color w:val="auto"/>
                <w:spacing w:val="-2"/>
                <w:sz w:val="24"/>
                <w:szCs w:val="24"/>
                <w:highlight w:val="none"/>
                <w:lang w:val="en-US" w:eastAsia="zh-CN"/>
              </w:rPr>
              <w:t>3</w:t>
            </w:r>
            <w:r>
              <w:rPr>
                <w:rFonts w:hint="eastAsia" w:ascii="宋体" w:hAnsi="宋体" w:eastAsia="宋体" w:cs="宋体"/>
                <w:color w:val="auto"/>
                <w:spacing w:val="-2"/>
                <w:sz w:val="24"/>
                <w:szCs w:val="24"/>
                <w:highlight w:val="none"/>
                <w:lang w:eastAsia="zh-CN"/>
              </w:rPr>
              <w:t xml:space="preserve"> 分，本条最高得</w:t>
            </w:r>
            <w:r>
              <w:rPr>
                <w:rFonts w:hint="eastAsia" w:ascii="宋体" w:hAnsi="宋体" w:eastAsia="宋体" w:cs="宋体"/>
                <w:color w:val="auto"/>
                <w:spacing w:val="-2"/>
                <w:sz w:val="24"/>
                <w:szCs w:val="24"/>
                <w:highlight w:val="none"/>
                <w:lang w:eastAsia="zh-CN"/>
              </w:rPr>
              <w:t xml:space="preserve"> </w:t>
            </w:r>
            <w:r>
              <w:rPr>
                <w:rFonts w:hint="eastAsia" w:ascii="宋体" w:hAnsi="宋体" w:eastAsia="宋体" w:cs="宋体"/>
                <w:color w:val="auto"/>
                <w:spacing w:val="-2"/>
                <w:sz w:val="24"/>
                <w:szCs w:val="24"/>
                <w:highlight w:val="none"/>
                <w:lang w:val="en-US" w:eastAsia="zh-CN"/>
              </w:rPr>
              <w:t>6</w:t>
            </w:r>
            <w:r>
              <w:rPr>
                <w:rFonts w:hint="eastAsia" w:ascii="宋体" w:hAnsi="宋体" w:eastAsia="宋体" w:cs="宋体"/>
                <w:color w:val="auto"/>
                <w:spacing w:val="-2"/>
                <w:sz w:val="24"/>
                <w:szCs w:val="24"/>
                <w:highlight w:val="none"/>
                <w:lang w:eastAsia="zh-CN"/>
              </w:rPr>
              <w:t>分（需提供承诺书且加盖投标人公章，格式自拟，</w:t>
            </w:r>
            <w:r>
              <w:rPr>
                <w:rFonts w:hint="eastAsia" w:ascii="宋体" w:hAnsi="宋体" w:eastAsia="宋体" w:cs="宋体"/>
                <w:color w:val="auto"/>
                <w:spacing w:val="-2"/>
                <w:sz w:val="24"/>
                <w:szCs w:val="24"/>
                <w:highlight w:val="none"/>
                <w:lang w:val="en-US" w:eastAsia="zh-CN"/>
              </w:rPr>
              <w:t>若不满三年按无效标处理</w:t>
            </w:r>
            <w:r>
              <w:rPr>
                <w:rFonts w:hint="eastAsia" w:ascii="宋体" w:hAnsi="宋体" w:eastAsia="宋体" w:cs="宋体"/>
                <w:color w:val="auto"/>
                <w:spacing w:val="-2"/>
                <w:sz w:val="24"/>
                <w:szCs w:val="24"/>
                <w:highlight w:val="none"/>
                <w:lang w:eastAsia="zh-CN"/>
              </w:rPr>
              <w:t>）；</w:t>
            </w:r>
          </w:p>
          <w:p>
            <w:pPr>
              <w:pStyle w:val="141"/>
              <w:keepNext w:val="0"/>
              <w:keepLines w:val="0"/>
              <w:pageBreakBefore w:val="0"/>
              <w:kinsoku/>
              <w:wordWrap/>
              <w:overflowPunct/>
              <w:topLinePunct w:val="0"/>
              <w:bidi w:val="0"/>
              <w:spacing w:line="460" w:lineRule="exact"/>
              <w:ind w:left="0" w:right="0" w:firstLine="0"/>
              <w:jc w:val="both"/>
              <w:textAlignment w:val="auto"/>
              <w:rPr>
                <w:rFonts w:hint="eastAsia" w:ascii="宋体" w:hAnsi="宋体" w:eastAsia="宋体" w:cs="宋体"/>
                <w:color w:val="auto"/>
                <w:spacing w:val="-2"/>
                <w:sz w:val="24"/>
                <w:szCs w:val="24"/>
                <w:highlight w:val="none"/>
                <w:lang w:eastAsia="zh-CN"/>
              </w:rPr>
            </w:pPr>
            <w:r>
              <w:rPr>
                <w:rFonts w:hint="eastAsia" w:ascii="宋体" w:hAnsi="宋体" w:eastAsia="宋体" w:cs="宋体"/>
                <w:color w:val="auto"/>
                <w:spacing w:val="-2"/>
                <w:sz w:val="24"/>
                <w:szCs w:val="24"/>
                <w:highlight w:val="none"/>
                <w:lang w:eastAsia="zh-CN"/>
              </w:rPr>
              <w:t>(</w:t>
            </w:r>
            <w:r>
              <w:rPr>
                <w:rFonts w:hint="eastAsia" w:ascii="宋体" w:hAnsi="宋体" w:eastAsia="宋体" w:cs="宋体"/>
                <w:color w:val="auto"/>
                <w:spacing w:val="-2"/>
                <w:sz w:val="24"/>
                <w:szCs w:val="24"/>
                <w:highlight w:val="none"/>
                <w:lang w:val="en-US" w:eastAsia="zh-CN"/>
              </w:rPr>
              <w:t>2</w:t>
            </w:r>
            <w:r>
              <w:rPr>
                <w:rFonts w:hint="eastAsia" w:ascii="宋体" w:hAnsi="宋体" w:eastAsia="宋体" w:cs="宋体"/>
                <w:color w:val="auto"/>
                <w:spacing w:val="-2"/>
                <w:sz w:val="24"/>
                <w:szCs w:val="24"/>
                <w:highlight w:val="none"/>
                <w:lang w:eastAsia="zh-CN"/>
              </w:rPr>
              <w:t>)提供备品备件（主机、控制柜等）报价明细表（格式自拟，包含备品备件名称、规格、单价等信息），供应商质保期后5年内提供备品备件价格不得高于本次报价明细表的价格，评委根据备品备件种类、数量综合评定打分：备品备件种类、规格齐全、价格优惠得</w:t>
            </w:r>
            <w:r>
              <w:rPr>
                <w:rFonts w:hint="eastAsia" w:ascii="宋体" w:hAnsi="宋体" w:eastAsia="宋体" w:cs="宋体"/>
                <w:color w:val="auto"/>
                <w:spacing w:val="-2"/>
                <w:sz w:val="24"/>
                <w:szCs w:val="24"/>
                <w:highlight w:val="none"/>
                <w:lang w:val="en-US" w:eastAsia="zh-CN"/>
              </w:rPr>
              <w:t>3分;</w:t>
            </w:r>
            <w:r>
              <w:rPr>
                <w:rFonts w:hint="eastAsia" w:ascii="宋体" w:hAnsi="宋体" w:eastAsia="宋体" w:cs="宋体"/>
                <w:color w:val="auto"/>
                <w:spacing w:val="-2"/>
                <w:sz w:val="24"/>
                <w:szCs w:val="24"/>
                <w:highlight w:val="none"/>
                <w:lang w:eastAsia="zh-CN"/>
              </w:rPr>
              <w:t>备品备件种类、规格相对齐全、价格比较优惠得</w:t>
            </w:r>
            <w:r>
              <w:rPr>
                <w:rFonts w:hint="eastAsia" w:ascii="宋体" w:hAnsi="宋体" w:eastAsia="宋体" w:cs="宋体"/>
                <w:color w:val="auto"/>
                <w:spacing w:val="-2"/>
                <w:sz w:val="24"/>
                <w:szCs w:val="24"/>
                <w:highlight w:val="none"/>
                <w:lang w:val="en-US" w:eastAsia="zh-CN"/>
              </w:rPr>
              <w:t>2分;</w:t>
            </w:r>
            <w:r>
              <w:rPr>
                <w:rFonts w:hint="eastAsia" w:ascii="宋体" w:hAnsi="宋体" w:eastAsia="宋体" w:cs="宋体"/>
                <w:color w:val="auto"/>
                <w:spacing w:val="-2"/>
                <w:sz w:val="24"/>
                <w:szCs w:val="24"/>
                <w:highlight w:val="none"/>
                <w:lang w:eastAsia="zh-CN"/>
              </w:rPr>
              <w:t>备品备件种类、规格少、价格偏高得</w:t>
            </w:r>
            <w:r>
              <w:rPr>
                <w:rFonts w:hint="eastAsia" w:ascii="宋体" w:hAnsi="宋体" w:eastAsia="宋体" w:cs="宋体"/>
                <w:color w:val="auto"/>
                <w:spacing w:val="-2"/>
                <w:sz w:val="24"/>
                <w:szCs w:val="24"/>
                <w:highlight w:val="none"/>
                <w:lang w:val="en-US" w:eastAsia="zh-CN"/>
              </w:rPr>
              <w:t>1分，未提供不得分。</w:t>
            </w:r>
          </w:p>
          <w:p>
            <w:pPr>
              <w:pStyle w:val="141"/>
              <w:keepNext w:val="0"/>
              <w:keepLines w:val="0"/>
              <w:pageBreakBefore w:val="0"/>
              <w:kinsoku/>
              <w:wordWrap/>
              <w:overflowPunct/>
              <w:topLinePunct w:val="0"/>
              <w:bidi w:val="0"/>
              <w:spacing w:line="460" w:lineRule="exact"/>
              <w:ind w:left="0" w:right="0" w:firstLine="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4"/>
                <w:sz w:val="24"/>
                <w:szCs w:val="24"/>
                <w:highlight w:val="none"/>
                <w:lang w:eastAsia="zh-CN"/>
              </w:rPr>
              <w:t>（</w:t>
            </w:r>
            <w:r>
              <w:rPr>
                <w:rFonts w:hint="eastAsia" w:ascii="宋体" w:hAnsi="宋体" w:eastAsia="宋体" w:cs="宋体"/>
                <w:color w:val="auto"/>
                <w:spacing w:val="-4"/>
                <w:sz w:val="24"/>
                <w:szCs w:val="24"/>
                <w:highlight w:val="none"/>
                <w:lang w:val="en-US" w:eastAsia="zh-CN"/>
              </w:rPr>
              <w:t>3</w:t>
            </w:r>
            <w:r>
              <w:rPr>
                <w:rFonts w:hint="eastAsia" w:ascii="宋体" w:hAnsi="宋体" w:eastAsia="宋体" w:cs="宋体"/>
                <w:color w:val="auto"/>
                <w:spacing w:val="-4"/>
                <w:sz w:val="24"/>
                <w:szCs w:val="24"/>
                <w:highlight w:val="none"/>
                <w:lang w:eastAsia="zh-CN"/>
              </w:rPr>
              <w:t>）电梯维保服务方案及措施</w:t>
            </w:r>
            <w:r>
              <w:rPr>
                <w:rFonts w:hint="eastAsia" w:ascii="宋体" w:hAnsi="宋体" w:eastAsia="宋体" w:cs="宋体"/>
                <w:color w:val="auto"/>
                <w:sz w:val="24"/>
                <w:szCs w:val="24"/>
                <w:highlight w:val="none"/>
                <w:lang w:eastAsia="zh-CN"/>
              </w:rPr>
              <w:t>（满</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eastAsia="zh-CN"/>
              </w:rPr>
              <w:t>5分）：</w:t>
            </w:r>
          </w:p>
          <w:p>
            <w:pPr>
              <w:keepNext w:val="0"/>
              <w:keepLines w:val="0"/>
              <w:pageBreakBefore w:val="0"/>
              <w:kinsoku/>
              <w:wordWrap/>
              <w:overflowPunct/>
              <w:topLinePunct w:val="0"/>
              <w:bidi w:val="0"/>
              <w:spacing w:line="460" w:lineRule="exact"/>
              <w:ind w:left="0" w:right="0" w:firstLine="0"/>
              <w:textAlignment w:val="auto"/>
              <w:rPr>
                <w:rFonts w:hint="eastAsia" w:ascii="宋体" w:hAnsi="宋体" w:eastAsia="宋体" w:cs="宋体"/>
                <w:color w:val="auto"/>
                <w:spacing w:val="-2"/>
                <w:sz w:val="24"/>
                <w:szCs w:val="24"/>
                <w:highlight w:val="none"/>
              </w:rPr>
            </w:pPr>
            <w:r>
              <w:rPr>
                <w:rFonts w:hint="eastAsia" w:ascii="宋体" w:hAnsi="宋体" w:eastAsia="宋体" w:cs="宋体"/>
                <w:color w:val="auto"/>
                <w:spacing w:val="-2"/>
                <w:sz w:val="24"/>
                <w:szCs w:val="24"/>
                <w:highlight w:val="none"/>
              </w:rPr>
              <w:t>根据各投标人的电梯</w:t>
            </w:r>
            <w:r>
              <w:rPr>
                <w:rFonts w:hint="eastAsia" w:ascii="宋体" w:hAnsi="宋体" w:cs="宋体"/>
                <w:color w:val="auto"/>
                <w:spacing w:val="-2"/>
                <w:sz w:val="24"/>
                <w:szCs w:val="24"/>
                <w:highlight w:val="none"/>
                <w:lang w:eastAsia="zh-CN"/>
              </w:rPr>
              <w:t>维保、售后</w:t>
            </w:r>
            <w:r>
              <w:rPr>
                <w:rFonts w:hint="eastAsia" w:ascii="宋体" w:hAnsi="宋体" w:eastAsia="宋体" w:cs="宋体"/>
                <w:color w:val="auto"/>
                <w:spacing w:val="-2"/>
                <w:sz w:val="24"/>
                <w:szCs w:val="24"/>
                <w:highlight w:val="none"/>
              </w:rPr>
              <w:t>方案（总体安排及规划、维保施工准备、 维保时间计划、维保工序、质保期满后主要产品及配件优惠方案等）、质量管理措施、安全事故的预防措施、应急响应方案等综合评分。</w:t>
            </w:r>
          </w:p>
          <w:p>
            <w:pPr>
              <w:pStyle w:val="141"/>
              <w:keepNext w:val="0"/>
              <w:keepLines w:val="0"/>
              <w:pageBreakBefore w:val="0"/>
              <w:kinsoku/>
              <w:wordWrap/>
              <w:overflowPunct/>
              <w:topLinePunct w:val="0"/>
              <w:bidi w:val="0"/>
              <w:spacing w:line="460" w:lineRule="exact"/>
              <w:ind w:left="0" w:right="0" w:firstLine="0"/>
              <w:jc w:val="both"/>
              <w:textAlignment w:val="auto"/>
              <w:rPr>
                <w:rFonts w:hint="default"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lang w:eastAsia="zh-CN"/>
              </w:rPr>
              <w:t>①电梯维保方案编制内容全面、完全匹配采购需求、措施科学合理、计划</w:t>
            </w:r>
            <w:r>
              <w:rPr>
                <w:rFonts w:hint="eastAsia" w:ascii="宋体" w:hAnsi="宋体" w:eastAsia="宋体" w:cs="宋体"/>
                <w:color w:val="auto"/>
                <w:spacing w:val="-2"/>
                <w:sz w:val="24"/>
                <w:szCs w:val="24"/>
                <w:highlight w:val="none"/>
                <w:lang w:val="en-US" w:eastAsia="zh-CN"/>
              </w:rPr>
              <w:t>有序得3分；</w:t>
            </w:r>
            <w:r>
              <w:rPr>
                <w:rFonts w:hint="eastAsia" w:ascii="宋体" w:hAnsi="宋体" w:eastAsia="宋体" w:cs="宋体"/>
                <w:color w:val="auto"/>
                <w:spacing w:val="-2"/>
                <w:sz w:val="24"/>
                <w:szCs w:val="24"/>
                <w:highlight w:val="none"/>
                <w:lang w:eastAsia="zh-CN"/>
              </w:rPr>
              <w:t>电梯维保方案编制内容较全面、基本满足采购需求、措施得当、计划较</w:t>
            </w:r>
            <w:r>
              <w:rPr>
                <w:rFonts w:hint="eastAsia" w:ascii="宋体" w:hAnsi="宋体" w:eastAsia="宋体" w:cs="宋体"/>
                <w:color w:val="auto"/>
                <w:spacing w:val="-2"/>
                <w:sz w:val="24"/>
                <w:szCs w:val="24"/>
                <w:highlight w:val="none"/>
                <w:lang w:val="en-US" w:eastAsia="zh-CN"/>
              </w:rPr>
              <w:t>合理得2分；</w:t>
            </w:r>
            <w:r>
              <w:rPr>
                <w:rFonts w:hint="eastAsia" w:ascii="宋体" w:hAnsi="宋体" w:eastAsia="宋体" w:cs="宋体"/>
                <w:color w:val="auto"/>
                <w:spacing w:val="-2"/>
                <w:sz w:val="24"/>
                <w:szCs w:val="24"/>
                <w:highlight w:val="none"/>
                <w:lang w:eastAsia="zh-CN"/>
              </w:rPr>
              <w:t>电梯维保方案编制内容简略、措施和计划没有针对性</w:t>
            </w:r>
            <w:r>
              <w:rPr>
                <w:rFonts w:hint="eastAsia" w:ascii="宋体" w:hAnsi="宋体" w:eastAsia="宋体" w:cs="宋体"/>
                <w:color w:val="auto"/>
                <w:spacing w:val="-2"/>
                <w:sz w:val="24"/>
                <w:szCs w:val="24"/>
                <w:highlight w:val="none"/>
                <w:lang w:val="en-US" w:eastAsia="zh-CN"/>
              </w:rPr>
              <w:t>得1分；未提供本项不得分。</w:t>
            </w:r>
          </w:p>
          <w:p>
            <w:pPr>
              <w:pStyle w:val="141"/>
              <w:keepNext w:val="0"/>
              <w:keepLines w:val="0"/>
              <w:pageBreakBefore w:val="0"/>
              <w:kinsoku/>
              <w:wordWrap/>
              <w:overflowPunct/>
              <w:topLinePunct w:val="0"/>
              <w:bidi w:val="0"/>
              <w:spacing w:line="460" w:lineRule="exact"/>
              <w:ind w:left="0" w:right="0" w:firstLine="0"/>
              <w:jc w:val="both"/>
              <w:textAlignment w:val="auto"/>
              <w:rPr>
                <w:rFonts w:hint="default" w:ascii="宋体" w:hAnsi="宋体" w:eastAsia="宋体" w:cs="宋体"/>
                <w:color w:val="auto"/>
                <w:spacing w:val="-2"/>
                <w:sz w:val="24"/>
                <w:szCs w:val="24"/>
                <w:highlight w:val="none"/>
                <w:lang w:val="en-US" w:eastAsia="zh-CN"/>
              </w:rPr>
            </w:pPr>
            <w:r>
              <w:rPr>
                <w:rFonts w:hint="eastAsia" w:ascii="宋体" w:hAnsi="宋体" w:eastAsia="宋体" w:cs="宋体"/>
                <w:color w:val="auto"/>
                <w:spacing w:val="-2"/>
                <w:sz w:val="24"/>
                <w:szCs w:val="24"/>
                <w:highlight w:val="none"/>
                <w:lang w:eastAsia="zh-CN"/>
              </w:rPr>
              <w:t>②质量管理措施、安全事故的预防措施 ：</w:t>
            </w:r>
            <w:r>
              <w:rPr>
                <w:rFonts w:hint="eastAsia" w:ascii="宋体" w:hAnsi="宋体" w:eastAsia="宋体" w:cs="宋体"/>
                <w:color w:val="auto"/>
                <w:spacing w:val="-2"/>
                <w:sz w:val="24"/>
                <w:szCs w:val="24"/>
                <w:highlight w:val="none"/>
                <w:lang w:val="en-US" w:eastAsia="zh-CN"/>
              </w:rPr>
              <w:t>管理措施、预防措施完善且可操作性强得1分；管理措施、预防措施有所欠缺且可操作性一般本项不得分。</w:t>
            </w:r>
          </w:p>
          <w:p>
            <w:pPr>
              <w:pStyle w:val="141"/>
              <w:keepNext w:val="0"/>
              <w:keepLines w:val="0"/>
              <w:pageBreakBefore w:val="0"/>
              <w:kinsoku/>
              <w:wordWrap/>
              <w:overflowPunct/>
              <w:topLinePunct w:val="0"/>
              <w:bidi w:val="0"/>
              <w:spacing w:line="460" w:lineRule="exact"/>
              <w:ind w:left="0" w:right="0" w:firstLine="0"/>
              <w:jc w:val="both"/>
              <w:textAlignment w:val="auto"/>
              <w:rPr>
                <w:rFonts w:hint="default" w:ascii="宋体" w:hAnsi="宋体" w:eastAsia="宋体" w:cs="宋体"/>
                <w:color w:val="auto"/>
                <w:kern w:val="0"/>
                <w:sz w:val="24"/>
                <w:szCs w:val="24"/>
                <w:highlight w:val="none"/>
                <w:lang w:val="en-US"/>
              </w:rPr>
            </w:pPr>
            <w:r>
              <w:rPr>
                <w:rFonts w:hint="eastAsia" w:ascii="宋体" w:hAnsi="宋体" w:eastAsia="宋体" w:cs="宋体"/>
                <w:color w:val="auto"/>
                <w:spacing w:val="-2"/>
                <w:sz w:val="24"/>
                <w:szCs w:val="24"/>
                <w:highlight w:val="none"/>
                <w:lang w:eastAsia="zh-CN"/>
              </w:rPr>
              <w:t>③应急响应方案：</w:t>
            </w:r>
            <w:r>
              <w:rPr>
                <w:rFonts w:hint="eastAsia" w:ascii="宋体" w:hAnsi="宋体" w:eastAsia="宋体" w:cs="宋体"/>
                <w:color w:val="auto"/>
                <w:spacing w:val="-2"/>
                <w:sz w:val="24"/>
                <w:szCs w:val="24"/>
                <w:highlight w:val="none"/>
                <w:lang w:val="en-US" w:eastAsia="zh-CN"/>
              </w:rPr>
              <w:t>应急响应方案完善且可操作性强得1分；应急响应方案有所欠缺且可操作性一般本项不得分。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416" w:type="pct"/>
            <w:vAlign w:val="center"/>
          </w:tcPr>
          <w:p>
            <w:pPr>
              <w:keepNext w:val="0"/>
              <w:keepLines w:val="0"/>
              <w:pageBreakBefore w:val="0"/>
              <w:kinsoku/>
              <w:wordWrap/>
              <w:overflowPunct/>
              <w:topLinePunct w:val="0"/>
              <w:bidi w:val="0"/>
              <w:spacing w:line="460" w:lineRule="exact"/>
              <w:ind w:left="0" w:right="0" w:firstLine="0"/>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p>
        </w:tc>
        <w:tc>
          <w:tcPr>
            <w:tcW w:w="774" w:type="pct"/>
            <w:vAlign w:val="center"/>
          </w:tcPr>
          <w:p>
            <w:pPr>
              <w:keepNext w:val="0"/>
              <w:keepLines w:val="0"/>
              <w:pageBreakBefore w:val="0"/>
              <w:kinsoku/>
              <w:wordWrap/>
              <w:overflowPunct/>
              <w:topLinePunct w:val="0"/>
              <w:bidi w:val="0"/>
              <w:spacing w:line="460" w:lineRule="exact"/>
              <w:ind w:left="0" w:right="0" w:firstLine="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企业资信</w:t>
            </w:r>
          </w:p>
        </w:tc>
        <w:tc>
          <w:tcPr>
            <w:tcW w:w="475" w:type="pct"/>
            <w:vAlign w:val="center"/>
          </w:tcPr>
          <w:p>
            <w:pPr>
              <w:keepNext w:val="0"/>
              <w:keepLines w:val="0"/>
              <w:pageBreakBefore w:val="0"/>
              <w:kinsoku/>
              <w:wordWrap/>
              <w:overflowPunct/>
              <w:topLinePunct w:val="0"/>
              <w:autoSpaceDE w:val="0"/>
              <w:autoSpaceDN w:val="0"/>
              <w:bidi w:val="0"/>
              <w:adjustRightInd w:val="0"/>
              <w:snapToGrid w:val="0"/>
              <w:spacing w:line="460" w:lineRule="exact"/>
              <w:ind w:left="0" w:right="0" w:firstLine="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3334" w:type="pct"/>
            <w:vAlign w:val="center"/>
          </w:tcPr>
          <w:p>
            <w:pPr>
              <w:keepNext w:val="0"/>
              <w:keepLines w:val="0"/>
              <w:pageBreakBefore w:val="0"/>
              <w:kinsoku/>
              <w:wordWrap/>
              <w:overflowPunct/>
              <w:topLinePunct w:val="0"/>
              <w:bidi w:val="0"/>
              <w:spacing w:line="460" w:lineRule="exact"/>
              <w:ind w:left="0" w:right="0" w:firstLine="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供应商或</w:t>
            </w:r>
            <w:r>
              <w:rPr>
                <w:rFonts w:hint="eastAsia" w:ascii="宋体" w:hAnsi="宋体" w:eastAsia="宋体" w:cs="宋体"/>
                <w:color w:val="auto"/>
                <w:sz w:val="24"/>
                <w:szCs w:val="24"/>
                <w:highlight w:val="none"/>
              </w:rPr>
              <w:t>所投品牌制造厂商</w:t>
            </w:r>
            <w:r>
              <w:rPr>
                <w:rFonts w:hint="eastAsia" w:ascii="宋体" w:hAnsi="宋体" w:eastAsia="宋体" w:cs="宋体"/>
                <w:color w:val="auto"/>
                <w:kern w:val="0"/>
                <w:sz w:val="24"/>
                <w:szCs w:val="24"/>
                <w:highlight w:val="none"/>
              </w:rPr>
              <w:t>获得质量管理体系认证证书得1分、环境管理体系认证证书得1分、职业健康安全管理体系认证证书得1分,最多得</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p>
            <w:pPr>
              <w:keepNext w:val="0"/>
              <w:keepLines w:val="0"/>
              <w:pageBreakBefore w:val="0"/>
              <w:kinsoku/>
              <w:wordWrap/>
              <w:overflowPunct/>
              <w:topLinePunct w:val="0"/>
              <w:bidi w:val="0"/>
              <w:spacing w:line="460" w:lineRule="exact"/>
              <w:ind w:left="0" w:right="0" w:firstLine="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提供证书复印件加盖公章，否则不予得分。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416" w:type="pct"/>
            <w:vAlign w:val="center"/>
          </w:tcPr>
          <w:p>
            <w:pPr>
              <w:keepNext w:val="0"/>
              <w:keepLines w:val="0"/>
              <w:pageBreakBefore w:val="0"/>
              <w:kinsoku/>
              <w:wordWrap/>
              <w:overflowPunct/>
              <w:topLinePunct w:val="0"/>
              <w:bidi w:val="0"/>
              <w:spacing w:line="460" w:lineRule="exact"/>
              <w:ind w:left="0" w:right="0" w:firstLine="0"/>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p>
        </w:tc>
        <w:tc>
          <w:tcPr>
            <w:tcW w:w="774" w:type="pct"/>
            <w:vAlign w:val="center"/>
          </w:tcPr>
          <w:p>
            <w:pPr>
              <w:keepNext w:val="0"/>
              <w:keepLines w:val="0"/>
              <w:pageBreakBefore w:val="0"/>
              <w:kinsoku/>
              <w:wordWrap/>
              <w:overflowPunct/>
              <w:topLinePunct w:val="0"/>
              <w:bidi w:val="0"/>
              <w:spacing w:line="460" w:lineRule="exact"/>
              <w:ind w:left="0" w:right="0" w:firstLine="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w:t>
            </w:r>
          </w:p>
        </w:tc>
        <w:tc>
          <w:tcPr>
            <w:tcW w:w="475" w:type="pct"/>
            <w:vAlign w:val="center"/>
          </w:tcPr>
          <w:p>
            <w:pPr>
              <w:keepNext w:val="0"/>
              <w:keepLines w:val="0"/>
              <w:pageBreakBefore w:val="0"/>
              <w:kinsoku/>
              <w:wordWrap/>
              <w:overflowPunct/>
              <w:topLinePunct w:val="0"/>
              <w:bidi w:val="0"/>
              <w:spacing w:line="460" w:lineRule="exact"/>
              <w:ind w:left="0" w:right="0" w:firstLine="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3334" w:type="pct"/>
            <w:vAlign w:val="center"/>
          </w:tcPr>
          <w:p>
            <w:pPr>
              <w:keepNext w:val="0"/>
              <w:keepLines w:val="0"/>
              <w:pageBreakBefore w:val="0"/>
              <w:kinsoku/>
              <w:wordWrap/>
              <w:overflowPunct/>
              <w:topLinePunct w:val="0"/>
              <w:bidi w:val="0"/>
              <w:spacing w:line="460" w:lineRule="exact"/>
              <w:ind w:left="0" w:right="0" w:firstLine="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投标人自2020年1月1日以来（以合同签订日期为准）实施过</w:t>
            </w:r>
            <w:r>
              <w:rPr>
                <w:rFonts w:hint="eastAsia" w:ascii="宋体" w:hAnsi="宋体" w:eastAsia="宋体" w:cs="宋体"/>
                <w:color w:val="auto"/>
                <w:kern w:val="0"/>
                <w:sz w:val="24"/>
                <w:szCs w:val="24"/>
                <w:highlight w:val="none"/>
                <w:lang w:val="en-US" w:eastAsia="zh-CN"/>
              </w:rPr>
              <w:t>本次</w:t>
            </w:r>
            <w:r>
              <w:rPr>
                <w:rFonts w:hint="eastAsia" w:ascii="宋体" w:hAnsi="宋体" w:eastAsia="宋体" w:cs="宋体"/>
                <w:color w:val="auto"/>
                <w:kern w:val="0"/>
                <w:sz w:val="24"/>
                <w:szCs w:val="24"/>
                <w:highlight w:val="none"/>
              </w:rPr>
              <w:t>所投品牌扶梯的安装施工业绩，投标时提供以下证明材料</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每提供一份完整材料的业绩得2分，本项最多得10分。</w:t>
            </w:r>
            <w:r>
              <w:rPr>
                <w:rFonts w:hint="eastAsia" w:ascii="宋体" w:hAnsi="宋体" w:eastAsia="宋体" w:cs="宋体"/>
                <w:color w:val="auto"/>
                <w:kern w:val="0"/>
                <w:sz w:val="24"/>
                <w:szCs w:val="24"/>
                <w:highlight w:val="none"/>
              </w:rPr>
              <w:t>未提供或提供不全均不得分。</w:t>
            </w:r>
          </w:p>
          <w:p>
            <w:pPr>
              <w:keepNext w:val="0"/>
              <w:keepLines w:val="0"/>
              <w:pageBreakBefore w:val="0"/>
              <w:kinsoku/>
              <w:wordWrap/>
              <w:overflowPunct/>
              <w:topLinePunct w:val="0"/>
              <w:bidi w:val="0"/>
              <w:spacing w:line="460" w:lineRule="exact"/>
              <w:ind w:left="0" w:right="0" w:firstLine="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1、提供对应合同及扶梯项目清单（清单格式自拟加盖公章，清单中需体现用户名称、项目名称、联系人、联系号码）；</w:t>
            </w:r>
          </w:p>
          <w:p>
            <w:pPr>
              <w:keepNext w:val="0"/>
              <w:keepLines w:val="0"/>
              <w:pageBreakBefore w:val="0"/>
              <w:kinsoku/>
              <w:wordWrap/>
              <w:overflowPunct/>
              <w:topLinePunct w:val="0"/>
              <w:bidi w:val="0"/>
              <w:spacing w:line="460" w:lineRule="exact"/>
              <w:ind w:left="0" w:right="0" w:firstLine="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2、对应合同提供安装扶梯监督检验报告，报告中施工单位名称需与投标人一致。</w:t>
            </w:r>
          </w:p>
          <w:p>
            <w:pPr>
              <w:keepNext w:val="0"/>
              <w:keepLines w:val="0"/>
              <w:pageBreakBefore w:val="0"/>
              <w:kinsoku/>
              <w:wordWrap/>
              <w:overflowPunct/>
              <w:topLinePunct w:val="0"/>
              <w:bidi w:val="0"/>
              <w:spacing w:line="460" w:lineRule="exact"/>
              <w:ind w:left="0" w:right="0" w:firstLine="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以上证明材料复印件均需加盖供应商公章。</w:t>
            </w:r>
          </w:p>
        </w:tc>
      </w:tr>
    </w:tbl>
    <w:p>
      <w:pPr>
        <w:autoSpaceDE w:val="0"/>
        <w:autoSpaceDN w:val="0"/>
        <w:adjustRightInd w:val="0"/>
        <w:snapToGrid w:val="0"/>
        <w:spacing w:line="460" w:lineRule="exact"/>
        <w:ind w:firstLine="562" w:firstLineChars="200"/>
        <w:rPr>
          <w:rFonts w:ascii="宋体" w:hAnsi="宋体" w:cs="宋体"/>
          <w:color w:val="auto"/>
          <w:sz w:val="28"/>
          <w:szCs w:val="28"/>
          <w:highlight w:val="none"/>
        </w:rPr>
      </w:pPr>
      <w:r>
        <w:rPr>
          <w:rFonts w:hint="eastAsia" w:ascii="宋体" w:hAnsi="宋体" w:cs="宋体"/>
          <w:b/>
          <w:color w:val="auto"/>
          <w:sz w:val="28"/>
          <w:szCs w:val="28"/>
          <w:highlight w:val="none"/>
        </w:rPr>
        <w:t>（四）</w:t>
      </w:r>
      <w:r>
        <w:rPr>
          <w:rFonts w:hint="eastAsia" w:ascii="宋体" w:hAnsi="宋体" w:cs="宋体"/>
          <w:b/>
          <w:color w:val="auto"/>
          <w:sz w:val="28"/>
          <w:szCs w:val="28"/>
          <w:highlight w:val="none"/>
          <w:lang w:val="zh-CN"/>
        </w:rPr>
        <w:t>价格分</w:t>
      </w:r>
      <w:r>
        <w:rPr>
          <w:rFonts w:hint="eastAsia" w:ascii="宋体" w:hAnsi="宋体" w:cs="宋体"/>
          <w:b/>
          <w:color w:val="auto"/>
          <w:sz w:val="28"/>
          <w:szCs w:val="28"/>
          <w:highlight w:val="none"/>
        </w:rPr>
        <w:t>：</w:t>
      </w:r>
      <w:r>
        <w:rPr>
          <w:rFonts w:hint="eastAsia" w:ascii="宋体" w:hAnsi="宋体" w:cs="宋体"/>
          <w:color w:val="auto"/>
          <w:kern w:val="0"/>
          <w:sz w:val="28"/>
          <w:szCs w:val="28"/>
          <w:highlight w:val="none"/>
          <w:lang w:val="en-US" w:eastAsia="zh-CN" w:bidi="ar"/>
        </w:rPr>
        <w:t>40</w:t>
      </w:r>
      <w:r>
        <w:rPr>
          <w:rFonts w:hint="eastAsia" w:ascii="宋体" w:hAnsi="宋体" w:cs="宋体"/>
          <w:color w:val="auto"/>
          <w:kern w:val="0"/>
          <w:sz w:val="28"/>
          <w:szCs w:val="28"/>
          <w:highlight w:val="none"/>
          <w:lang w:bidi="ar"/>
        </w:rPr>
        <w:t>分</w:t>
      </w:r>
    </w:p>
    <w:p>
      <w:pPr>
        <w:pStyle w:val="88"/>
        <w:snapToGrid w:val="0"/>
        <w:spacing w:before="0" w:after="0" w:line="460" w:lineRule="exact"/>
        <w:ind w:left="0" w:right="0" w:firstLine="560" w:firstLineChars="200"/>
        <w:jc w:val="both"/>
        <w:rPr>
          <w:rFonts w:ascii="宋体" w:hAnsi="宋体" w:cs="宋体"/>
          <w:bCs/>
          <w:color w:val="auto"/>
          <w:sz w:val="28"/>
          <w:szCs w:val="28"/>
          <w:highlight w:val="none"/>
        </w:rPr>
      </w:pPr>
      <w:r>
        <w:rPr>
          <w:rFonts w:hint="eastAsia" w:ascii="宋体" w:hAnsi="宋体" w:cs="宋体"/>
          <w:bCs/>
          <w:color w:val="auto"/>
          <w:sz w:val="28"/>
          <w:szCs w:val="28"/>
          <w:highlight w:val="none"/>
        </w:rPr>
        <w:t>价格分统一采用低价优先法计算，即满足招标文件要求且投标价格最低的投标报价为评标基准价，其价格分为满分。其他投标人的价格分统一按照下列公式计算：</w:t>
      </w:r>
    </w:p>
    <w:p>
      <w:pPr>
        <w:pStyle w:val="88"/>
        <w:snapToGrid w:val="0"/>
        <w:spacing w:before="0" w:after="0" w:line="460" w:lineRule="exact"/>
        <w:ind w:left="0" w:right="0" w:firstLine="560" w:firstLineChars="200"/>
        <w:jc w:val="both"/>
        <w:rPr>
          <w:rFonts w:ascii="宋体" w:hAnsi="宋体" w:cs="宋体"/>
          <w:bCs/>
          <w:color w:val="auto"/>
          <w:sz w:val="28"/>
          <w:szCs w:val="28"/>
          <w:highlight w:val="none"/>
        </w:rPr>
      </w:pPr>
      <w:r>
        <w:rPr>
          <w:rFonts w:hint="eastAsia" w:ascii="宋体" w:hAnsi="宋体" w:cs="宋体"/>
          <w:bCs/>
          <w:color w:val="auto"/>
          <w:sz w:val="28"/>
          <w:szCs w:val="28"/>
          <w:highlight w:val="none"/>
        </w:rPr>
        <w:t>投标报价得分=（评标基准价/投标报价）×价格权值×100</w:t>
      </w:r>
    </w:p>
    <w:p>
      <w:pPr>
        <w:adjustRightInd w:val="0"/>
        <w:snapToGrid w:val="0"/>
        <w:spacing w:line="460" w:lineRule="exact"/>
        <w:ind w:firstLine="562" w:firstLineChars="200"/>
        <w:rPr>
          <w:rFonts w:ascii="宋体" w:hAnsi="宋体" w:cs="宋体"/>
          <w:bCs/>
          <w:color w:val="auto"/>
          <w:sz w:val="28"/>
          <w:szCs w:val="28"/>
          <w:highlight w:val="none"/>
        </w:rPr>
      </w:pPr>
      <w:r>
        <w:rPr>
          <w:rFonts w:hint="eastAsia" w:ascii="宋体" w:hAnsi="宋体" w:cs="宋体"/>
          <w:b/>
          <w:color w:val="auto"/>
          <w:sz w:val="28"/>
          <w:szCs w:val="28"/>
          <w:highlight w:val="none"/>
        </w:rPr>
        <w:t>（五）中标人的确定</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评委会汇总各评委评分后，按照得分从高到低的顺序推荐三名中标候选人，并编写评标报告。</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招标人委托评标委员会直接确定排名第一的中标候选人为中标人。</w:t>
      </w:r>
    </w:p>
    <w:p>
      <w:pPr>
        <w:adjustRightInd w:val="0"/>
        <w:snapToGrid w:val="0"/>
        <w:spacing w:line="460" w:lineRule="exact"/>
        <w:ind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成交供应商无故弃标，或者因其自身原因不再具备成交资格等，招标人可以按照评审委员会评审结果，按综合得分从高向低排序，由其他成交候选人递补，或重新组织采购。</w:t>
      </w:r>
    </w:p>
    <w:p>
      <w:pPr>
        <w:adjustRightInd w:val="0"/>
        <w:snapToGrid w:val="0"/>
        <w:spacing w:line="460" w:lineRule="exact"/>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（六）招标人代表宣布评标结果。</w:t>
      </w:r>
    </w:p>
    <w:p>
      <w:pPr>
        <w:adjustRightInd w:val="0"/>
        <w:snapToGrid w:val="0"/>
        <w:spacing w:line="460" w:lineRule="exact"/>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（七）公告中标结果</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自确定中标人之日起2个工作日内，在江苏航运职业技术学院网站公告中标结果，公告期限为1个工作日。</w:t>
      </w:r>
    </w:p>
    <w:p>
      <w:pPr>
        <w:adjustRightInd w:val="0"/>
        <w:snapToGrid w:val="0"/>
        <w:spacing w:line="460" w:lineRule="exact"/>
        <w:ind w:firstLine="562" w:firstLineChars="200"/>
        <w:rPr>
          <w:rFonts w:ascii="宋体" w:hAnsi="宋体" w:cs="宋体"/>
          <w:b/>
          <w:bCs/>
          <w:color w:val="auto"/>
          <w:sz w:val="28"/>
          <w:szCs w:val="28"/>
          <w:highlight w:val="none"/>
        </w:rPr>
      </w:pPr>
      <w:r>
        <w:rPr>
          <w:rFonts w:hint="eastAsia" w:ascii="宋体" w:hAnsi="宋体" w:cs="宋体"/>
          <w:b/>
          <w:color w:val="auto"/>
          <w:sz w:val="28"/>
          <w:szCs w:val="28"/>
          <w:highlight w:val="none"/>
        </w:rPr>
        <w:t>（</w:t>
      </w:r>
      <w:r>
        <w:rPr>
          <w:rFonts w:hint="eastAsia" w:ascii="宋体" w:hAnsi="宋体" w:cs="宋体"/>
          <w:b/>
          <w:bCs/>
          <w:color w:val="auto"/>
          <w:sz w:val="28"/>
          <w:szCs w:val="28"/>
          <w:highlight w:val="none"/>
        </w:rPr>
        <w:t>八</w:t>
      </w:r>
      <w:r>
        <w:rPr>
          <w:rFonts w:hint="eastAsia" w:ascii="宋体" w:hAnsi="宋体" w:cs="宋体"/>
          <w:b/>
          <w:color w:val="auto"/>
          <w:sz w:val="28"/>
          <w:szCs w:val="28"/>
          <w:highlight w:val="none"/>
        </w:rPr>
        <w:t>）</w:t>
      </w:r>
      <w:r>
        <w:rPr>
          <w:rFonts w:hint="eastAsia" w:ascii="宋体" w:hAnsi="宋体" w:cs="宋体"/>
          <w:b/>
          <w:bCs/>
          <w:color w:val="auto"/>
          <w:sz w:val="28"/>
          <w:szCs w:val="28"/>
          <w:highlight w:val="none"/>
        </w:rPr>
        <w:t>发放中标通知书</w:t>
      </w:r>
    </w:p>
    <w:p>
      <w:pPr>
        <w:adjustRightInd w:val="0"/>
        <w:snapToGrid w:val="0"/>
        <w:spacing w:line="460" w:lineRule="exact"/>
        <w:ind w:firstLine="560" w:firstLineChars="200"/>
        <w:rPr>
          <w:rFonts w:ascii="宋体" w:hAnsi="宋体" w:cs="宋体"/>
          <w:bCs/>
          <w:color w:val="auto"/>
          <w:sz w:val="28"/>
          <w:szCs w:val="28"/>
          <w:highlight w:val="none"/>
        </w:rPr>
      </w:pPr>
      <w:r>
        <w:rPr>
          <w:rFonts w:hint="eastAsia" w:ascii="宋体" w:hAnsi="宋体" w:cs="宋体"/>
          <w:color w:val="auto"/>
          <w:sz w:val="28"/>
          <w:szCs w:val="28"/>
          <w:highlight w:val="none"/>
        </w:rPr>
        <w:t>公告中标结果的同时，招标人</w:t>
      </w:r>
      <w:r>
        <w:rPr>
          <w:rFonts w:hint="eastAsia" w:ascii="宋体" w:hAnsi="宋体" w:cs="宋体"/>
          <w:bCs/>
          <w:color w:val="auto"/>
          <w:sz w:val="28"/>
          <w:szCs w:val="28"/>
          <w:highlight w:val="none"/>
        </w:rPr>
        <w:t>向中标供应商发放中标通知书。</w:t>
      </w:r>
    </w:p>
    <w:p>
      <w:pPr>
        <w:adjustRightInd w:val="0"/>
        <w:snapToGrid w:val="0"/>
        <w:spacing w:line="460" w:lineRule="exact"/>
        <w:ind w:firstLine="560" w:firstLineChars="200"/>
        <w:rPr>
          <w:rFonts w:ascii="宋体" w:hAnsi="宋体" w:cs="宋体"/>
          <w:b/>
          <w:color w:val="auto"/>
          <w:sz w:val="28"/>
          <w:szCs w:val="28"/>
          <w:highlight w:val="none"/>
        </w:rPr>
      </w:pPr>
      <w:r>
        <w:rPr>
          <w:rFonts w:hint="eastAsia" w:ascii="宋体" w:hAnsi="宋体" w:cs="宋体"/>
          <w:color w:val="auto"/>
          <w:sz w:val="28"/>
          <w:szCs w:val="28"/>
          <w:highlight w:val="none"/>
        </w:rPr>
        <w:t>中标通知书发出后，招标人不得违法改变中标结果，中标供应商无正当理由不得放弃中标。</w:t>
      </w:r>
    </w:p>
    <w:p>
      <w:pPr>
        <w:adjustRightInd w:val="0"/>
        <w:snapToGrid w:val="0"/>
        <w:spacing w:line="460" w:lineRule="exact"/>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rPr>
        <w:t>（九）其他</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当排名第一的中标候选人无正当理由放弃中标，被查实存在影响中标结果的违法行为等情形，招标人有权按照政府采购相关法律法规的规定对其采取惩戒措施，包含但不限于列入采购失信人黑名单等措施。</w:t>
      </w:r>
    </w:p>
    <w:p>
      <w:pPr>
        <w:adjustRightInd w:val="0"/>
        <w:snapToGrid w:val="0"/>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当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adjustRightInd w:val="0"/>
        <w:snapToGrid w:val="0"/>
        <w:spacing w:line="420" w:lineRule="exact"/>
        <w:ind w:firstLine="562" w:firstLineChars="200"/>
        <w:rPr>
          <w:rFonts w:ascii="宋体" w:hAnsi="宋体" w:cs="宋体"/>
          <w:b/>
          <w:bCs/>
          <w:color w:val="auto"/>
          <w:sz w:val="28"/>
          <w:szCs w:val="28"/>
          <w:highlight w:val="none"/>
        </w:rPr>
      </w:pPr>
    </w:p>
    <w:p>
      <w:pPr>
        <w:adjustRightInd w:val="0"/>
        <w:snapToGrid w:val="0"/>
        <w:spacing w:line="420" w:lineRule="exact"/>
        <w:ind w:firstLine="643" w:firstLineChars="200"/>
        <w:jc w:val="center"/>
        <w:rPr>
          <w:rFonts w:ascii="宋体" w:hAnsi="宋体" w:cs="宋体"/>
          <w:bCs/>
          <w:color w:val="auto"/>
          <w:sz w:val="36"/>
          <w:szCs w:val="36"/>
          <w:highlight w:val="none"/>
        </w:rPr>
      </w:pPr>
      <w:r>
        <w:rPr>
          <w:rFonts w:hint="eastAsia" w:ascii="宋体" w:hAnsi="宋体" w:cs="宋体"/>
          <w:b/>
          <w:color w:val="auto"/>
          <w:sz w:val="32"/>
          <w:szCs w:val="32"/>
          <w:highlight w:val="none"/>
        </w:rPr>
        <w:br w:type="page"/>
      </w:r>
      <w:r>
        <w:rPr>
          <w:rFonts w:hint="eastAsia" w:ascii="宋体" w:hAnsi="宋体" w:cs="宋体"/>
          <w:b/>
          <w:color w:val="auto"/>
          <w:sz w:val="36"/>
          <w:szCs w:val="36"/>
          <w:highlight w:val="none"/>
        </w:rPr>
        <w:t>第五部分  投标文件组成</w:t>
      </w:r>
    </w:p>
    <w:p>
      <w:pPr>
        <w:adjustRightInd w:val="0"/>
        <w:snapToGrid w:val="0"/>
        <w:spacing w:line="460" w:lineRule="exact"/>
        <w:ind w:firstLine="562" w:firstLineChars="200"/>
        <w:jc w:val="left"/>
        <w:rPr>
          <w:rFonts w:ascii="宋体" w:hAnsi="宋体" w:cs="宋体"/>
          <w:b/>
          <w:color w:val="auto"/>
          <w:sz w:val="28"/>
          <w:szCs w:val="28"/>
          <w:highlight w:val="none"/>
        </w:rPr>
      </w:pPr>
      <w:r>
        <w:rPr>
          <w:rFonts w:hint="eastAsia" w:ascii="宋体" w:hAnsi="宋体" w:cs="宋体"/>
          <w:b/>
          <w:color w:val="auto"/>
          <w:sz w:val="28"/>
          <w:szCs w:val="28"/>
          <w:highlight w:val="none"/>
        </w:rPr>
        <w:t>投标文件由资格审查文件、商务技术文件、价格文件、电子响应文件四部分组成。</w:t>
      </w:r>
    </w:p>
    <w:p>
      <w:pPr>
        <w:adjustRightInd w:val="0"/>
        <w:snapToGrid w:val="0"/>
        <w:spacing w:line="460" w:lineRule="exact"/>
        <w:ind w:firstLine="562" w:firstLineChars="200"/>
        <w:rPr>
          <w:rFonts w:ascii="宋体" w:hAnsi="宋体" w:cs="宋体"/>
          <w:b/>
          <w:bCs/>
          <w:color w:val="auto"/>
          <w:kern w:val="0"/>
          <w:sz w:val="28"/>
          <w:szCs w:val="28"/>
          <w:highlight w:val="none"/>
          <w:lang w:val="zh-CN"/>
        </w:rPr>
      </w:pPr>
      <w:r>
        <w:rPr>
          <w:rFonts w:hint="eastAsia" w:ascii="宋体" w:hAnsi="宋体" w:cs="宋体"/>
          <w:b/>
          <w:bCs/>
          <w:color w:val="auto"/>
          <w:kern w:val="0"/>
          <w:sz w:val="28"/>
          <w:szCs w:val="28"/>
          <w:highlight w:val="none"/>
          <w:lang w:val="zh-CN"/>
        </w:rPr>
        <w:t>一、资格审查文件（不能出现商务技术文件、价格文件）</w:t>
      </w:r>
    </w:p>
    <w:p>
      <w:pPr>
        <w:adjustRightInd w:val="0"/>
        <w:snapToGrid w:val="0"/>
        <w:spacing w:line="460" w:lineRule="exact"/>
        <w:ind w:firstLine="560" w:firstLineChars="200"/>
        <w:rPr>
          <w:rFonts w:ascii="宋体" w:hAnsi="宋体" w:cs="宋体"/>
          <w:color w:val="auto"/>
          <w:kern w:val="0"/>
          <w:sz w:val="28"/>
          <w:szCs w:val="28"/>
          <w:highlight w:val="none"/>
          <w:lang w:val="zh-CN"/>
        </w:rPr>
      </w:pPr>
      <w:r>
        <w:rPr>
          <w:rFonts w:hint="eastAsia" w:ascii="宋体" w:hAnsi="宋体" w:cs="宋体"/>
          <w:color w:val="auto"/>
          <w:kern w:val="0"/>
          <w:sz w:val="28"/>
          <w:szCs w:val="28"/>
          <w:highlight w:val="none"/>
          <w:lang w:val="zh-CN"/>
        </w:rPr>
        <w:t>1.</w:t>
      </w:r>
      <w:r>
        <w:rPr>
          <w:rFonts w:hint="eastAsia" w:ascii="宋体" w:hAnsi="宋体" w:cs="宋体"/>
          <w:color w:val="auto"/>
          <w:kern w:val="0"/>
          <w:sz w:val="28"/>
          <w:szCs w:val="28"/>
          <w:highlight w:val="none"/>
        </w:rPr>
        <w:t>符合投标人资格要求的承诺函（格式见附件1）</w:t>
      </w:r>
      <w:r>
        <w:rPr>
          <w:rFonts w:hint="eastAsia" w:ascii="宋体" w:hAnsi="宋体" w:cs="宋体"/>
          <w:color w:val="auto"/>
          <w:kern w:val="0"/>
          <w:sz w:val="28"/>
          <w:szCs w:val="28"/>
          <w:highlight w:val="none"/>
          <w:lang w:val="zh-CN"/>
        </w:rPr>
        <w:t>；</w:t>
      </w:r>
    </w:p>
    <w:p>
      <w:pPr>
        <w:adjustRightInd w:val="0"/>
        <w:snapToGrid w:val="0"/>
        <w:spacing w:line="460" w:lineRule="exact"/>
        <w:ind w:firstLine="560" w:firstLineChars="200"/>
        <w:rPr>
          <w:rFonts w:ascii="宋体" w:hAnsi="宋体" w:cs="宋体"/>
          <w:color w:val="auto"/>
          <w:kern w:val="0"/>
          <w:sz w:val="28"/>
          <w:szCs w:val="28"/>
          <w:highlight w:val="none"/>
          <w:lang w:val="zh-CN"/>
        </w:rPr>
      </w:pPr>
      <w:r>
        <w:rPr>
          <w:rFonts w:hint="eastAsia" w:ascii="宋体" w:hAnsi="宋体" w:cs="宋体"/>
          <w:color w:val="auto"/>
          <w:kern w:val="0"/>
          <w:sz w:val="28"/>
          <w:szCs w:val="28"/>
          <w:highlight w:val="none"/>
          <w:lang w:val="zh-CN"/>
        </w:rPr>
        <w:t>2.法定代表人身份证明书（格式见附件2）；</w:t>
      </w:r>
    </w:p>
    <w:p>
      <w:pPr>
        <w:adjustRightInd w:val="0"/>
        <w:snapToGrid w:val="0"/>
        <w:spacing w:line="460" w:lineRule="exact"/>
        <w:ind w:firstLine="560" w:firstLineChars="200"/>
        <w:rPr>
          <w:rFonts w:ascii="宋体" w:hAnsi="宋体" w:cs="宋体"/>
          <w:color w:val="auto"/>
          <w:kern w:val="0"/>
          <w:sz w:val="28"/>
          <w:szCs w:val="28"/>
          <w:highlight w:val="none"/>
          <w:lang w:val="zh-CN"/>
        </w:rPr>
      </w:pPr>
      <w:r>
        <w:rPr>
          <w:rFonts w:hint="eastAsia" w:ascii="宋体" w:hAnsi="宋体" w:cs="宋体"/>
          <w:color w:val="auto"/>
          <w:kern w:val="0"/>
          <w:sz w:val="28"/>
          <w:szCs w:val="28"/>
          <w:highlight w:val="none"/>
          <w:lang w:val="zh-CN"/>
        </w:rPr>
        <w:t>3.法定代表人授权委托书原件，投标代表本人身份证复印件（格式见附件3）；</w:t>
      </w:r>
    </w:p>
    <w:p>
      <w:pPr>
        <w:adjustRightInd w:val="0"/>
        <w:snapToGrid w:val="0"/>
        <w:spacing w:line="46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lang w:val="zh-CN"/>
        </w:rPr>
        <w:t>4.</w:t>
      </w:r>
      <w:r>
        <w:rPr>
          <w:rFonts w:hint="eastAsia" w:ascii="宋体" w:hAnsi="宋体" w:cs="宋体"/>
          <w:color w:val="auto"/>
          <w:kern w:val="0"/>
          <w:sz w:val="28"/>
          <w:szCs w:val="28"/>
          <w:highlight w:val="none"/>
        </w:rPr>
        <w:t>有效的营业执照副本复印件；</w:t>
      </w:r>
    </w:p>
    <w:p>
      <w:pPr>
        <w:adjustRightInd w:val="0"/>
        <w:snapToGrid w:val="0"/>
        <w:spacing w:line="460" w:lineRule="exact"/>
        <w:ind w:firstLine="560" w:firstLineChars="200"/>
        <w:rPr>
          <w:rFonts w:ascii="宋体" w:hAnsi="宋体" w:cs="宋体"/>
          <w:color w:val="auto"/>
          <w:kern w:val="0"/>
          <w:sz w:val="28"/>
          <w:szCs w:val="28"/>
          <w:highlight w:val="none"/>
          <w:lang w:val="zh-CN"/>
        </w:rPr>
      </w:pPr>
      <w:r>
        <w:rPr>
          <w:rFonts w:hint="eastAsia" w:ascii="宋体" w:hAnsi="宋体" w:cs="宋体"/>
          <w:color w:val="auto"/>
          <w:kern w:val="0"/>
          <w:sz w:val="28"/>
          <w:szCs w:val="28"/>
          <w:highlight w:val="none"/>
        </w:rPr>
        <w:t>5.</w:t>
      </w:r>
      <w:r>
        <w:rPr>
          <w:rFonts w:hint="eastAsia" w:ascii="宋体" w:hAnsi="宋体" w:cs="宋体"/>
          <w:color w:val="auto"/>
          <w:kern w:val="0"/>
          <w:sz w:val="28"/>
          <w:szCs w:val="28"/>
          <w:highlight w:val="none"/>
          <w:lang w:val="zh-CN"/>
        </w:rPr>
        <w:t>供应商如为电梯制造厂商须具有有效期内的《中华人民共和国特种设备生产许可证》，许可项目：电梯制造（含安装、修理、改造），许可子项目：自动扶梯与自动人行道。提供相关证书复印件并加盖</w:t>
      </w:r>
      <w:r>
        <w:rPr>
          <w:rFonts w:hint="eastAsia" w:ascii="宋体" w:hAnsi="宋体" w:cs="宋体"/>
          <w:color w:val="auto"/>
          <w:kern w:val="0"/>
          <w:sz w:val="28"/>
          <w:szCs w:val="28"/>
          <w:highlight w:val="none"/>
        </w:rPr>
        <w:t>供应商</w:t>
      </w:r>
      <w:r>
        <w:rPr>
          <w:rFonts w:hint="eastAsia" w:ascii="宋体" w:hAnsi="宋体" w:cs="宋体"/>
          <w:color w:val="auto"/>
          <w:kern w:val="0"/>
          <w:sz w:val="28"/>
          <w:szCs w:val="28"/>
          <w:highlight w:val="none"/>
          <w:lang w:val="zh-CN"/>
        </w:rPr>
        <w:t>公章。</w:t>
      </w:r>
    </w:p>
    <w:p>
      <w:pPr>
        <w:adjustRightInd w:val="0"/>
        <w:snapToGrid w:val="0"/>
        <w:spacing w:line="46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6.供应商如为代理商，则必须提供《中华人民共和国特种设备（电梯）安装、改造、维修许可证》。提供相关证书复印件并加盖供应商公章。</w:t>
      </w:r>
    </w:p>
    <w:p>
      <w:pPr>
        <w:adjustRightInd w:val="0"/>
        <w:snapToGrid w:val="0"/>
        <w:spacing w:line="460" w:lineRule="exact"/>
        <w:ind w:firstLine="562" w:firstLineChars="200"/>
        <w:rPr>
          <w:rFonts w:ascii="宋体" w:hAnsi="宋体" w:cs="宋体"/>
          <w:b/>
          <w:bCs/>
          <w:color w:val="auto"/>
          <w:kern w:val="0"/>
          <w:sz w:val="28"/>
          <w:szCs w:val="28"/>
          <w:highlight w:val="none"/>
          <w:lang w:val="zh-CN"/>
        </w:rPr>
      </w:pPr>
      <w:r>
        <w:rPr>
          <w:rFonts w:hint="eastAsia" w:ascii="宋体" w:hAnsi="宋体" w:cs="宋体"/>
          <w:b/>
          <w:bCs/>
          <w:color w:val="auto"/>
          <w:kern w:val="0"/>
          <w:sz w:val="28"/>
          <w:szCs w:val="28"/>
          <w:highlight w:val="none"/>
          <w:lang w:val="zh-CN"/>
        </w:rPr>
        <w:t>二、商务技术文件（不能出现价格文件）</w:t>
      </w:r>
    </w:p>
    <w:p>
      <w:pPr>
        <w:adjustRightInd w:val="0"/>
        <w:snapToGrid w:val="0"/>
        <w:spacing w:line="460" w:lineRule="exact"/>
        <w:ind w:firstLine="560" w:firstLineChars="200"/>
        <w:rPr>
          <w:rFonts w:ascii="宋体" w:hAnsi="宋体" w:cs="宋体"/>
          <w:color w:val="auto"/>
          <w:kern w:val="0"/>
          <w:sz w:val="28"/>
          <w:szCs w:val="28"/>
          <w:highlight w:val="none"/>
          <w:lang w:val="zh-CN"/>
        </w:rPr>
      </w:pPr>
      <w:r>
        <w:rPr>
          <w:rFonts w:hint="eastAsia" w:ascii="宋体" w:hAnsi="宋体" w:cs="宋体"/>
          <w:color w:val="auto"/>
          <w:kern w:val="0"/>
          <w:sz w:val="28"/>
          <w:szCs w:val="28"/>
          <w:highlight w:val="none"/>
          <w:lang w:val="zh-CN"/>
        </w:rPr>
        <w:t>1.商务部分正负偏离表（格式见附件</w:t>
      </w:r>
      <w:r>
        <w:rPr>
          <w:rFonts w:hint="eastAsia" w:ascii="宋体" w:hAnsi="宋体" w:cs="宋体"/>
          <w:color w:val="auto"/>
          <w:kern w:val="0"/>
          <w:sz w:val="28"/>
          <w:szCs w:val="28"/>
          <w:highlight w:val="none"/>
        </w:rPr>
        <w:t>4</w:t>
      </w:r>
      <w:r>
        <w:rPr>
          <w:rFonts w:hint="eastAsia" w:ascii="宋体" w:hAnsi="宋体" w:cs="宋体"/>
          <w:color w:val="auto"/>
          <w:kern w:val="0"/>
          <w:sz w:val="28"/>
          <w:szCs w:val="28"/>
          <w:highlight w:val="none"/>
          <w:lang w:val="zh-CN"/>
        </w:rPr>
        <w:t>）；</w:t>
      </w:r>
    </w:p>
    <w:p>
      <w:pPr>
        <w:adjustRightInd w:val="0"/>
        <w:snapToGrid w:val="0"/>
        <w:spacing w:line="460" w:lineRule="exact"/>
        <w:ind w:firstLine="560" w:firstLineChars="200"/>
        <w:rPr>
          <w:rFonts w:ascii="宋体" w:hAnsi="宋体" w:cs="宋体"/>
          <w:color w:val="auto"/>
          <w:kern w:val="0"/>
          <w:sz w:val="28"/>
          <w:szCs w:val="28"/>
          <w:highlight w:val="none"/>
          <w:lang w:val="zh-CN"/>
        </w:rPr>
      </w:pPr>
      <w:r>
        <w:rPr>
          <w:rFonts w:hint="eastAsia" w:ascii="宋体" w:hAnsi="宋体" w:cs="宋体"/>
          <w:color w:val="auto"/>
          <w:kern w:val="0"/>
          <w:sz w:val="28"/>
          <w:szCs w:val="28"/>
          <w:highlight w:val="none"/>
          <w:lang w:val="zh-CN"/>
        </w:rPr>
        <w:t>2.技术部分正负偏离表（格式见附件</w:t>
      </w:r>
      <w:r>
        <w:rPr>
          <w:rFonts w:hint="eastAsia" w:ascii="宋体" w:hAnsi="宋体" w:cs="宋体"/>
          <w:color w:val="auto"/>
          <w:kern w:val="0"/>
          <w:sz w:val="28"/>
          <w:szCs w:val="28"/>
          <w:highlight w:val="none"/>
        </w:rPr>
        <w:t>5</w:t>
      </w:r>
      <w:r>
        <w:rPr>
          <w:rFonts w:hint="eastAsia" w:ascii="宋体" w:hAnsi="宋体" w:cs="宋体"/>
          <w:color w:val="auto"/>
          <w:kern w:val="0"/>
          <w:sz w:val="28"/>
          <w:szCs w:val="28"/>
          <w:highlight w:val="none"/>
          <w:lang w:val="zh-CN"/>
        </w:rPr>
        <w:t>）。</w:t>
      </w:r>
    </w:p>
    <w:p>
      <w:pPr>
        <w:adjustRightInd w:val="0"/>
        <w:snapToGrid w:val="0"/>
        <w:spacing w:line="460" w:lineRule="exact"/>
        <w:ind w:firstLine="560" w:firstLineChars="200"/>
        <w:rPr>
          <w:rFonts w:ascii="宋体" w:hAnsi="宋体" w:cs="宋体"/>
          <w:color w:val="auto"/>
          <w:kern w:val="0"/>
          <w:sz w:val="28"/>
          <w:szCs w:val="28"/>
          <w:highlight w:val="none"/>
          <w:lang w:val="zh-CN"/>
        </w:rPr>
      </w:pPr>
      <w:r>
        <w:rPr>
          <w:rFonts w:hint="eastAsia" w:ascii="宋体" w:hAnsi="宋体" w:cs="宋体"/>
          <w:color w:val="auto"/>
          <w:kern w:val="0"/>
          <w:sz w:val="28"/>
          <w:szCs w:val="28"/>
          <w:highlight w:val="none"/>
        </w:rPr>
        <w:t>3</w:t>
      </w:r>
      <w:r>
        <w:rPr>
          <w:rFonts w:hint="eastAsia" w:ascii="宋体" w:hAnsi="宋体" w:cs="宋体"/>
          <w:color w:val="auto"/>
          <w:kern w:val="0"/>
          <w:sz w:val="28"/>
          <w:szCs w:val="28"/>
          <w:highlight w:val="none"/>
          <w:lang w:val="zh-CN"/>
        </w:rPr>
        <w:t>.为方便评委评审，请供应商按评审办法中所涉及的事项顺序进行编制，可以补充相关材料；</w:t>
      </w:r>
    </w:p>
    <w:p>
      <w:pPr>
        <w:adjustRightInd w:val="0"/>
        <w:snapToGrid w:val="0"/>
        <w:spacing w:line="460" w:lineRule="exact"/>
        <w:ind w:firstLine="560" w:firstLineChars="200"/>
        <w:rPr>
          <w:rFonts w:ascii="宋体" w:hAnsi="宋体" w:cs="宋体"/>
          <w:color w:val="auto"/>
          <w:kern w:val="0"/>
          <w:sz w:val="28"/>
          <w:szCs w:val="28"/>
          <w:highlight w:val="none"/>
          <w:lang w:val="zh-CN"/>
        </w:rPr>
      </w:pPr>
      <w:r>
        <w:rPr>
          <w:rFonts w:hint="eastAsia" w:ascii="宋体" w:hAnsi="宋体" w:cs="宋体"/>
          <w:color w:val="auto"/>
          <w:kern w:val="0"/>
          <w:sz w:val="28"/>
          <w:szCs w:val="28"/>
          <w:highlight w:val="none"/>
        </w:rPr>
        <w:t>4.</w:t>
      </w:r>
      <w:r>
        <w:rPr>
          <w:rFonts w:hint="eastAsia" w:ascii="宋体" w:hAnsi="宋体" w:cs="宋体"/>
          <w:color w:val="auto"/>
          <w:kern w:val="0"/>
          <w:sz w:val="28"/>
          <w:szCs w:val="28"/>
          <w:highlight w:val="none"/>
          <w:lang w:val="zh-CN"/>
        </w:rPr>
        <w:t>评审办法中未涉及的事项，供应商认为需要提交的其他资料。</w:t>
      </w:r>
    </w:p>
    <w:p>
      <w:pPr>
        <w:adjustRightInd w:val="0"/>
        <w:snapToGrid w:val="0"/>
        <w:spacing w:line="460" w:lineRule="exact"/>
        <w:ind w:firstLine="562" w:firstLineChars="200"/>
        <w:rPr>
          <w:rFonts w:ascii="宋体" w:hAnsi="宋体" w:cs="宋体"/>
          <w:b/>
          <w:bCs/>
          <w:color w:val="auto"/>
          <w:kern w:val="0"/>
          <w:sz w:val="28"/>
          <w:szCs w:val="28"/>
          <w:highlight w:val="none"/>
          <w:lang w:val="zh-CN"/>
        </w:rPr>
      </w:pPr>
      <w:r>
        <w:rPr>
          <w:rFonts w:hint="eastAsia" w:ascii="宋体" w:hAnsi="宋体" w:cs="宋体"/>
          <w:b/>
          <w:bCs/>
          <w:color w:val="auto"/>
          <w:kern w:val="0"/>
          <w:sz w:val="28"/>
          <w:szCs w:val="28"/>
          <w:highlight w:val="none"/>
          <w:lang w:val="zh-CN"/>
        </w:rPr>
        <w:t>三、价格文件</w:t>
      </w:r>
    </w:p>
    <w:p>
      <w:pPr>
        <w:adjustRightInd w:val="0"/>
        <w:snapToGrid w:val="0"/>
        <w:spacing w:line="460" w:lineRule="exact"/>
        <w:ind w:firstLine="560" w:firstLineChars="200"/>
        <w:rPr>
          <w:rFonts w:ascii="宋体" w:hAnsi="宋体" w:cs="宋体"/>
          <w:color w:val="auto"/>
          <w:kern w:val="0"/>
          <w:sz w:val="28"/>
          <w:szCs w:val="28"/>
          <w:highlight w:val="none"/>
          <w:lang w:val="zh-CN"/>
        </w:rPr>
      </w:pPr>
      <w:r>
        <w:rPr>
          <w:rFonts w:hint="eastAsia" w:ascii="宋体" w:hAnsi="宋体" w:cs="宋体"/>
          <w:color w:val="auto"/>
          <w:kern w:val="0"/>
          <w:sz w:val="28"/>
          <w:szCs w:val="28"/>
          <w:highlight w:val="none"/>
          <w:lang w:val="zh-CN"/>
        </w:rPr>
        <w:t>1.开标一览表（格式见附件</w:t>
      </w:r>
      <w:r>
        <w:rPr>
          <w:rFonts w:hint="eastAsia" w:ascii="宋体" w:hAnsi="宋体" w:cs="宋体"/>
          <w:color w:val="auto"/>
          <w:kern w:val="0"/>
          <w:sz w:val="28"/>
          <w:szCs w:val="28"/>
          <w:highlight w:val="none"/>
        </w:rPr>
        <w:t>6</w:t>
      </w:r>
      <w:r>
        <w:rPr>
          <w:rFonts w:hint="eastAsia" w:ascii="宋体" w:hAnsi="宋体" w:cs="宋体"/>
          <w:color w:val="auto"/>
          <w:kern w:val="0"/>
          <w:sz w:val="28"/>
          <w:szCs w:val="28"/>
          <w:highlight w:val="none"/>
          <w:lang w:val="zh-CN"/>
        </w:rPr>
        <w:t>）；</w:t>
      </w:r>
    </w:p>
    <w:p>
      <w:pPr>
        <w:adjustRightInd w:val="0"/>
        <w:snapToGrid w:val="0"/>
        <w:spacing w:line="46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2.分项报价表；</w:t>
      </w:r>
    </w:p>
    <w:p>
      <w:pPr>
        <w:adjustRightInd w:val="0"/>
        <w:snapToGrid w:val="0"/>
        <w:spacing w:line="460" w:lineRule="exact"/>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3.供应商信用承诺书（格式见附件7）。</w:t>
      </w:r>
    </w:p>
    <w:p>
      <w:pPr>
        <w:adjustRightInd w:val="0"/>
        <w:snapToGrid w:val="0"/>
        <w:spacing w:line="460" w:lineRule="exact"/>
        <w:ind w:firstLine="562" w:firstLineChars="200"/>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四、电子响应文件（一份、单独密封提供）</w:t>
      </w:r>
    </w:p>
    <w:p>
      <w:pPr>
        <w:adjustRightInd w:val="0"/>
        <w:snapToGrid w:val="0"/>
        <w:spacing w:line="460" w:lineRule="exact"/>
        <w:ind w:firstLine="560" w:firstLineChars="200"/>
        <w:rPr>
          <w:rFonts w:ascii="宋体" w:hAnsi="宋体" w:cs="宋体"/>
          <w:color w:val="auto"/>
          <w:kern w:val="0"/>
          <w:sz w:val="28"/>
          <w:szCs w:val="28"/>
          <w:highlight w:val="none"/>
          <w:lang w:val="zh-CN"/>
        </w:rPr>
      </w:pPr>
      <w:r>
        <w:rPr>
          <w:rFonts w:hint="eastAsia" w:ascii="宋体" w:hAnsi="宋体" w:cs="宋体"/>
          <w:color w:val="auto"/>
          <w:kern w:val="0"/>
          <w:sz w:val="28"/>
          <w:szCs w:val="28"/>
          <w:highlight w:val="none"/>
        </w:rPr>
        <w:t>电子响应文件的内容为“资格审查文件、商务技术文件、价格文件”的打印盖章（或电子签章）后的响应文件的扫描件（资格审查文件、商务技术文件、价格文件需分别逐页连续扫描为三个独立的PDF文件）。</w:t>
      </w:r>
    </w:p>
    <w:p>
      <w:pPr>
        <w:snapToGrid w:val="0"/>
        <w:spacing w:line="460" w:lineRule="exact"/>
        <w:contextualSpacing/>
        <w:rPr>
          <w:rFonts w:ascii="宋体" w:hAnsi="宋体" w:cs="宋体"/>
          <w:color w:val="auto"/>
          <w:kern w:val="0"/>
          <w:sz w:val="32"/>
          <w:szCs w:val="32"/>
          <w:highlight w:val="none"/>
          <w:lang w:val="zh-CN"/>
        </w:rPr>
      </w:pPr>
      <w:r>
        <w:rPr>
          <w:rFonts w:hint="eastAsia" w:ascii="宋体" w:hAnsi="宋体" w:cs="宋体"/>
          <w:color w:val="auto"/>
          <w:kern w:val="0"/>
          <w:sz w:val="32"/>
          <w:szCs w:val="32"/>
          <w:highlight w:val="none"/>
          <w:lang w:val="zh-CN"/>
        </w:rPr>
        <w:br w:type="page"/>
      </w:r>
      <w:r>
        <w:rPr>
          <w:rFonts w:hint="eastAsia" w:ascii="宋体" w:hAnsi="宋体" w:cs="宋体"/>
          <w:color w:val="auto"/>
          <w:kern w:val="0"/>
          <w:sz w:val="32"/>
          <w:szCs w:val="32"/>
          <w:highlight w:val="none"/>
          <w:lang w:val="zh-CN"/>
        </w:rPr>
        <w:t>附件1</w:t>
      </w:r>
    </w:p>
    <w:p>
      <w:pPr>
        <w:spacing w:line="460" w:lineRule="exact"/>
        <w:jc w:val="center"/>
        <w:rPr>
          <w:rFonts w:ascii="宋体" w:hAnsi="宋体" w:cs="宋体"/>
          <w:b/>
          <w:color w:val="auto"/>
          <w:sz w:val="30"/>
          <w:szCs w:val="30"/>
          <w:highlight w:val="none"/>
        </w:rPr>
      </w:pPr>
    </w:p>
    <w:p>
      <w:pPr>
        <w:spacing w:line="460" w:lineRule="exact"/>
        <w:jc w:val="center"/>
        <w:rPr>
          <w:rFonts w:ascii="宋体" w:hAnsi="宋体" w:cs="宋体"/>
          <w:b/>
          <w:color w:val="auto"/>
          <w:sz w:val="30"/>
          <w:szCs w:val="30"/>
          <w:highlight w:val="none"/>
        </w:rPr>
      </w:pPr>
    </w:p>
    <w:p>
      <w:pPr>
        <w:spacing w:line="460" w:lineRule="exact"/>
        <w:jc w:val="center"/>
        <w:rPr>
          <w:rFonts w:ascii="宋体" w:hAnsi="宋体" w:cs="宋体"/>
          <w:b/>
          <w:color w:val="auto"/>
          <w:sz w:val="30"/>
          <w:szCs w:val="30"/>
          <w:highlight w:val="none"/>
        </w:rPr>
      </w:pPr>
      <w:r>
        <w:rPr>
          <w:rFonts w:hint="eastAsia" w:ascii="宋体" w:hAnsi="宋体" w:cs="宋体"/>
          <w:b/>
          <w:color w:val="auto"/>
          <w:sz w:val="30"/>
          <w:szCs w:val="30"/>
          <w:highlight w:val="none"/>
        </w:rPr>
        <w:t>符合投标人资格要求的承诺函</w:t>
      </w:r>
    </w:p>
    <w:p>
      <w:pPr>
        <w:spacing w:line="460" w:lineRule="exact"/>
        <w:rPr>
          <w:rFonts w:ascii="宋体" w:hAnsi="宋体" w:cs="宋体"/>
          <w:b/>
          <w:bCs/>
          <w:color w:val="auto"/>
          <w:sz w:val="44"/>
          <w:szCs w:val="44"/>
          <w:highlight w:val="none"/>
        </w:rPr>
      </w:pPr>
      <w:r>
        <w:rPr>
          <w:rFonts w:hint="eastAsia" w:ascii="宋体" w:hAnsi="宋体" w:cs="宋体"/>
          <w:b/>
          <w:bCs/>
          <w:color w:val="auto"/>
          <w:sz w:val="24"/>
          <w:szCs w:val="21"/>
          <w:highlight w:val="none"/>
        </w:rPr>
        <w:t xml:space="preserve">                       </w:t>
      </w:r>
      <w:r>
        <w:rPr>
          <w:rFonts w:hint="eastAsia" w:ascii="宋体" w:hAnsi="宋体" w:cs="宋体"/>
          <w:b/>
          <w:bCs/>
          <w:color w:val="auto"/>
          <w:sz w:val="44"/>
          <w:szCs w:val="44"/>
          <w:highlight w:val="none"/>
        </w:rPr>
        <w:t xml:space="preserve">   </w:t>
      </w:r>
    </w:p>
    <w:p>
      <w:pPr>
        <w:spacing w:line="460" w:lineRule="exact"/>
        <w:ind w:firstLine="480" w:firstLineChars="200"/>
        <w:rPr>
          <w:rFonts w:ascii="宋体" w:hAnsi="宋体" w:cs="宋体"/>
          <w:b/>
          <w:bCs/>
          <w:color w:val="auto"/>
          <w:sz w:val="24"/>
          <w:highlight w:val="none"/>
        </w:rPr>
      </w:pPr>
      <w:r>
        <w:rPr>
          <w:rFonts w:hint="eastAsia" w:ascii="宋体" w:hAnsi="宋体" w:cs="宋体"/>
          <w:bCs/>
          <w:color w:val="auto"/>
          <w:sz w:val="24"/>
          <w:highlight w:val="none"/>
        </w:rPr>
        <w:t>我单位参加</w:t>
      </w:r>
      <w:r>
        <w:rPr>
          <w:rFonts w:hint="eastAsia" w:ascii="宋体" w:hAnsi="宋体" w:cs="宋体"/>
          <w:bCs/>
          <w:color w:val="auto"/>
          <w:sz w:val="24"/>
          <w:szCs w:val="21"/>
          <w:highlight w:val="none"/>
          <w:u w:val="single"/>
        </w:rPr>
        <w:t>________________ _</w:t>
      </w:r>
      <w:r>
        <w:rPr>
          <w:rFonts w:hint="eastAsia" w:ascii="宋体" w:hAnsi="宋体" w:cs="宋体"/>
          <w:bCs/>
          <w:color w:val="auto"/>
          <w:sz w:val="24"/>
          <w:szCs w:val="21"/>
          <w:highlight w:val="none"/>
        </w:rPr>
        <w:t>（项目名称），</w:t>
      </w:r>
      <w:r>
        <w:rPr>
          <w:rFonts w:hint="eastAsia" w:ascii="宋体" w:hAnsi="宋体" w:cs="宋体"/>
          <w:bCs/>
          <w:color w:val="auto"/>
          <w:sz w:val="24"/>
          <w:szCs w:val="21"/>
          <w:highlight w:val="none"/>
          <w:u w:val="single"/>
        </w:rPr>
        <w:t>_______ __________</w:t>
      </w:r>
      <w:r>
        <w:rPr>
          <w:rFonts w:hint="eastAsia" w:ascii="宋体" w:hAnsi="宋体" w:cs="宋体"/>
          <w:bCs/>
          <w:color w:val="auto"/>
          <w:sz w:val="24"/>
          <w:szCs w:val="21"/>
          <w:highlight w:val="none"/>
        </w:rPr>
        <w:t>（项目编号）投标活动。现做出如下承诺：</w:t>
      </w:r>
    </w:p>
    <w:p>
      <w:pPr>
        <w:spacing w:line="460" w:lineRule="exact"/>
        <w:ind w:firstLine="480" w:firstLineChars="200"/>
        <w:rPr>
          <w:rFonts w:ascii="宋体" w:hAnsi="宋体" w:cs="宋体"/>
          <w:color w:val="auto"/>
          <w:sz w:val="24"/>
          <w:highlight w:val="none"/>
        </w:rPr>
      </w:pPr>
      <w:r>
        <w:rPr>
          <w:rFonts w:hint="eastAsia" w:ascii="宋体" w:hAnsi="宋体" w:cs="宋体"/>
          <w:bCs/>
          <w:color w:val="auto"/>
          <w:sz w:val="24"/>
          <w:szCs w:val="21"/>
          <w:highlight w:val="none"/>
        </w:rPr>
        <w:t>1.我单位具有独立承担民事责任的能力；</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2.我单位具有良好的商业信誉和健全的财务会计制度；</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3.我单位具有履行合同所必需的设备和专业技术能力；</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4.我单位有依法缴纳税收和社会保障资金的良好记录；</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5.我单位参加采购活动前三年内，在经营活动中没有重大违法记录。</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6.我单位满足法律、行政法规规定的其他条件。</w:t>
      </w:r>
    </w:p>
    <w:p>
      <w:pPr>
        <w:spacing w:line="460" w:lineRule="exact"/>
        <w:ind w:firstLine="480" w:firstLineChars="200"/>
        <w:rPr>
          <w:rFonts w:ascii="宋体" w:hAnsi="宋体" w:cs="宋体"/>
          <w:color w:val="auto"/>
          <w:sz w:val="24"/>
          <w:highlight w:val="none"/>
        </w:rPr>
      </w:pPr>
    </w:p>
    <w:p>
      <w:pPr>
        <w:spacing w:line="460" w:lineRule="exact"/>
        <w:ind w:firstLine="480" w:firstLineChars="200"/>
        <w:rPr>
          <w:rFonts w:ascii="宋体" w:hAnsi="宋体" w:cs="宋体"/>
          <w:color w:val="auto"/>
          <w:sz w:val="24"/>
          <w:highlight w:val="none"/>
        </w:rPr>
      </w:pPr>
    </w:p>
    <w:p>
      <w:pPr>
        <w:spacing w:line="460" w:lineRule="exact"/>
        <w:ind w:firstLine="480" w:firstLineChars="200"/>
        <w:rPr>
          <w:rFonts w:ascii="宋体" w:hAnsi="宋体" w:cs="宋体"/>
          <w:bCs/>
          <w:color w:val="auto"/>
          <w:sz w:val="24"/>
          <w:szCs w:val="21"/>
          <w:highlight w:val="none"/>
        </w:rPr>
      </w:pPr>
    </w:p>
    <w:p>
      <w:pPr>
        <w:spacing w:line="460" w:lineRule="exact"/>
        <w:ind w:firstLine="480" w:firstLineChars="200"/>
        <w:rPr>
          <w:rFonts w:ascii="宋体" w:hAnsi="宋体" w:cs="宋体"/>
          <w:bCs/>
          <w:color w:val="auto"/>
          <w:sz w:val="24"/>
          <w:szCs w:val="21"/>
          <w:highlight w:val="none"/>
        </w:rPr>
      </w:pPr>
    </w:p>
    <w:p>
      <w:pPr>
        <w:spacing w:line="460" w:lineRule="exact"/>
        <w:ind w:firstLine="480" w:firstLineChars="200"/>
        <w:rPr>
          <w:rFonts w:ascii="宋体" w:hAnsi="宋体" w:cs="宋体"/>
          <w:bCs/>
          <w:color w:val="auto"/>
          <w:sz w:val="24"/>
          <w:szCs w:val="21"/>
          <w:highlight w:val="none"/>
        </w:rPr>
      </w:pPr>
    </w:p>
    <w:p>
      <w:pPr>
        <w:spacing w:line="460" w:lineRule="exact"/>
        <w:ind w:firstLine="480" w:firstLineChars="200"/>
        <w:jc w:val="center"/>
        <w:rPr>
          <w:rFonts w:ascii="宋体" w:hAnsi="宋体" w:cs="宋体"/>
          <w:bCs/>
          <w:color w:val="auto"/>
          <w:sz w:val="24"/>
          <w:szCs w:val="21"/>
          <w:highlight w:val="none"/>
        </w:rPr>
      </w:pPr>
      <w:r>
        <w:rPr>
          <w:rFonts w:hint="eastAsia" w:ascii="宋体" w:hAnsi="宋体" w:cs="宋体"/>
          <w:bCs/>
          <w:color w:val="auto"/>
          <w:sz w:val="24"/>
          <w:szCs w:val="21"/>
          <w:highlight w:val="none"/>
        </w:rPr>
        <w:t xml:space="preserve">                                             承诺人名称（公章）：</w:t>
      </w:r>
    </w:p>
    <w:p>
      <w:pPr>
        <w:spacing w:line="460" w:lineRule="exact"/>
        <w:ind w:firstLine="480" w:firstLineChars="200"/>
        <w:jc w:val="right"/>
        <w:rPr>
          <w:rFonts w:ascii="宋体" w:hAnsi="宋体" w:cs="宋体"/>
          <w:bCs/>
          <w:color w:val="auto"/>
          <w:sz w:val="24"/>
          <w:szCs w:val="21"/>
          <w:highlight w:val="none"/>
        </w:rPr>
      </w:pPr>
      <w:r>
        <w:rPr>
          <w:rFonts w:hint="eastAsia" w:ascii="宋体" w:hAnsi="宋体" w:cs="宋体"/>
          <w:bCs/>
          <w:color w:val="auto"/>
          <w:sz w:val="24"/>
          <w:szCs w:val="21"/>
          <w:highlight w:val="none"/>
        </w:rPr>
        <w:t xml:space="preserve">    </w:t>
      </w:r>
    </w:p>
    <w:p>
      <w:pPr>
        <w:spacing w:line="460" w:lineRule="exact"/>
        <w:ind w:firstLine="480" w:firstLineChars="200"/>
        <w:jc w:val="right"/>
        <w:rPr>
          <w:rFonts w:ascii="宋体" w:hAnsi="宋体" w:cs="宋体"/>
          <w:bCs/>
          <w:color w:val="auto"/>
          <w:sz w:val="24"/>
          <w:szCs w:val="21"/>
          <w:highlight w:val="none"/>
        </w:rPr>
      </w:pPr>
      <w:r>
        <w:rPr>
          <w:rFonts w:hint="eastAsia" w:ascii="宋体" w:hAnsi="宋体" w:cs="宋体"/>
          <w:bCs/>
          <w:color w:val="auto"/>
          <w:sz w:val="24"/>
          <w:szCs w:val="21"/>
          <w:highlight w:val="none"/>
        </w:rPr>
        <w:t xml:space="preserve">                                 日期：</w:t>
      </w:r>
      <w:r>
        <w:rPr>
          <w:rFonts w:hint="eastAsia" w:ascii="宋体" w:hAnsi="宋体" w:cs="宋体"/>
          <w:bCs/>
          <w:color w:val="auto"/>
          <w:sz w:val="24"/>
          <w:szCs w:val="21"/>
          <w:highlight w:val="none"/>
          <w:u w:val="single"/>
        </w:rPr>
        <w:t>______</w:t>
      </w:r>
      <w:r>
        <w:rPr>
          <w:rFonts w:hint="eastAsia" w:ascii="宋体" w:hAnsi="宋体" w:cs="宋体"/>
          <w:bCs/>
          <w:color w:val="auto"/>
          <w:sz w:val="24"/>
          <w:szCs w:val="21"/>
          <w:highlight w:val="none"/>
        </w:rPr>
        <w:t>年</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月</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日</w:t>
      </w:r>
    </w:p>
    <w:p>
      <w:pPr>
        <w:spacing w:line="460" w:lineRule="exact"/>
        <w:jc w:val="right"/>
        <w:rPr>
          <w:rFonts w:ascii="宋体" w:hAnsi="宋体" w:cs="宋体"/>
          <w:bCs/>
          <w:color w:val="auto"/>
          <w:sz w:val="24"/>
          <w:szCs w:val="21"/>
          <w:highlight w:val="none"/>
        </w:rPr>
      </w:pPr>
    </w:p>
    <w:p>
      <w:pPr>
        <w:rPr>
          <w:rFonts w:ascii="宋体" w:hAnsi="宋体" w:cs="宋体"/>
          <w:color w:val="auto"/>
          <w:szCs w:val="21"/>
          <w:highlight w:val="none"/>
        </w:rPr>
      </w:pPr>
    </w:p>
    <w:p>
      <w:pPr>
        <w:snapToGrid w:val="0"/>
        <w:spacing w:line="400" w:lineRule="exact"/>
        <w:contextualSpacing/>
        <w:rPr>
          <w:rFonts w:ascii="宋体" w:hAnsi="宋体" w:cs="宋体"/>
          <w:b/>
          <w:color w:val="auto"/>
          <w:kern w:val="0"/>
          <w:sz w:val="28"/>
          <w:szCs w:val="28"/>
          <w:highlight w:val="none"/>
          <w:lang w:val="zh-CN"/>
        </w:rPr>
      </w:pPr>
    </w:p>
    <w:p>
      <w:pPr>
        <w:snapToGrid w:val="0"/>
        <w:spacing w:line="400" w:lineRule="exact"/>
        <w:contextualSpacing/>
        <w:rPr>
          <w:rFonts w:ascii="宋体" w:hAnsi="宋体" w:cs="宋体"/>
          <w:b/>
          <w:color w:val="auto"/>
          <w:kern w:val="0"/>
          <w:sz w:val="28"/>
          <w:szCs w:val="28"/>
          <w:highlight w:val="none"/>
          <w:lang w:val="zh-CN"/>
        </w:rPr>
      </w:pPr>
    </w:p>
    <w:p>
      <w:pPr>
        <w:snapToGrid w:val="0"/>
        <w:spacing w:line="460" w:lineRule="exact"/>
        <w:contextualSpacing/>
        <w:rPr>
          <w:rFonts w:ascii="宋体" w:hAnsi="宋体" w:cs="宋体"/>
          <w:color w:val="auto"/>
          <w:kern w:val="0"/>
          <w:sz w:val="32"/>
          <w:szCs w:val="32"/>
          <w:highlight w:val="none"/>
          <w:lang w:val="zh-CN"/>
        </w:rPr>
      </w:pPr>
      <w:r>
        <w:rPr>
          <w:rFonts w:hint="eastAsia" w:ascii="宋体" w:hAnsi="宋体" w:cs="宋体"/>
          <w:color w:val="auto"/>
          <w:kern w:val="0"/>
          <w:sz w:val="32"/>
          <w:szCs w:val="32"/>
          <w:highlight w:val="none"/>
          <w:lang w:val="zh-CN"/>
        </w:rPr>
        <w:br w:type="page"/>
      </w:r>
      <w:r>
        <w:rPr>
          <w:rFonts w:hint="eastAsia" w:ascii="宋体" w:hAnsi="宋体" w:cs="宋体"/>
          <w:color w:val="auto"/>
          <w:kern w:val="0"/>
          <w:sz w:val="32"/>
          <w:szCs w:val="32"/>
          <w:highlight w:val="none"/>
          <w:lang w:val="zh-CN"/>
        </w:rPr>
        <w:t>附件2</w:t>
      </w:r>
    </w:p>
    <w:p>
      <w:pPr>
        <w:spacing w:line="460" w:lineRule="exact"/>
        <w:jc w:val="center"/>
        <w:rPr>
          <w:rFonts w:ascii="宋体" w:hAnsi="宋体" w:cs="宋体"/>
          <w:b/>
          <w:bCs/>
          <w:color w:val="auto"/>
          <w:sz w:val="32"/>
          <w:szCs w:val="32"/>
          <w:highlight w:val="none"/>
        </w:rPr>
      </w:pPr>
    </w:p>
    <w:p>
      <w:pPr>
        <w:spacing w:line="460" w:lineRule="exact"/>
        <w:jc w:val="center"/>
        <w:rPr>
          <w:rFonts w:ascii="宋体" w:hAnsi="宋体" w:cs="宋体"/>
          <w:b/>
          <w:bCs/>
          <w:color w:val="auto"/>
          <w:sz w:val="32"/>
          <w:szCs w:val="32"/>
          <w:highlight w:val="none"/>
        </w:rPr>
      </w:pPr>
    </w:p>
    <w:p>
      <w:pPr>
        <w:spacing w:line="460" w:lineRule="exact"/>
        <w:jc w:val="center"/>
        <w:rPr>
          <w:rFonts w:ascii="宋体" w:hAnsi="宋体" w:cs="宋体"/>
          <w:b/>
          <w:bCs/>
          <w:color w:val="auto"/>
          <w:sz w:val="32"/>
          <w:szCs w:val="32"/>
          <w:highlight w:val="none"/>
        </w:rPr>
      </w:pPr>
    </w:p>
    <w:p>
      <w:pPr>
        <w:spacing w:line="460" w:lineRule="exact"/>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法定代表人身份证明</w:t>
      </w:r>
    </w:p>
    <w:p>
      <w:pPr>
        <w:spacing w:line="460" w:lineRule="exact"/>
        <w:rPr>
          <w:rFonts w:ascii="宋体" w:hAnsi="宋体" w:cs="宋体"/>
          <w:color w:val="auto"/>
          <w:sz w:val="24"/>
          <w:highlight w:val="none"/>
        </w:rPr>
      </w:pP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先生/女士： 现任我单位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职务，为法定代表人，特此证明。</w:t>
      </w:r>
    </w:p>
    <w:p>
      <w:pPr>
        <w:spacing w:line="460" w:lineRule="exact"/>
        <w:ind w:firstLine="480"/>
        <w:rPr>
          <w:rFonts w:ascii="宋体" w:hAnsi="宋体" w:cs="宋体"/>
          <w:color w:val="auto"/>
          <w:sz w:val="24"/>
          <w:highlight w:val="none"/>
          <w:u w:val="single"/>
        </w:rPr>
      </w:pPr>
      <w:r>
        <w:rPr>
          <w:rFonts w:hint="eastAsia" w:ascii="宋体" w:hAnsi="宋体" w:cs="宋体"/>
          <w:color w:val="auto"/>
          <w:sz w:val="24"/>
          <w:highlight w:val="none"/>
        </w:rPr>
        <w:t>身份证号码：</w:t>
      </w:r>
      <w:r>
        <w:rPr>
          <w:rFonts w:hint="eastAsia" w:ascii="宋体" w:hAnsi="宋体" w:cs="宋体"/>
          <w:color w:val="auto"/>
          <w:sz w:val="24"/>
          <w:highlight w:val="none"/>
          <w:u w:val="single"/>
        </w:rPr>
        <w:t xml:space="preserve">                                               </w:t>
      </w:r>
    </w:p>
    <w:p>
      <w:pPr>
        <w:spacing w:line="460" w:lineRule="exact"/>
        <w:ind w:firstLine="480"/>
        <w:rPr>
          <w:rFonts w:ascii="宋体" w:hAnsi="宋体" w:cs="宋体"/>
          <w:color w:val="auto"/>
          <w:sz w:val="24"/>
          <w:highlight w:val="none"/>
        </w:rPr>
      </w:pPr>
    </w:p>
    <w:p>
      <w:pPr>
        <w:spacing w:line="460" w:lineRule="exact"/>
        <w:rPr>
          <w:rFonts w:ascii="宋体" w:hAnsi="宋体" w:cs="宋体"/>
          <w:b/>
          <w:color w:val="auto"/>
          <w:sz w:val="24"/>
          <w:highlight w:val="none"/>
        </w:rPr>
      </w:pPr>
      <w:r>
        <w:rPr>
          <w:rFonts w:hint="eastAsia" w:ascii="宋体" w:hAnsi="宋体" w:cs="宋体"/>
          <w:b/>
          <w:color w:val="auto"/>
          <w:sz w:val="24"/>
          <w:highlight w:val="none"/>
        </w:rPr>
        <w:t>注：提供法定代表人的身份证复印件盖公章</w:t>
      </w:r>
    </w:p>
    <w:p>
      <w:pPr>
        <w:spacing w:line="460" w:lineRule="exact"/>
        <w:ind w:firstLine="480" w:firstLineChars="200"/>
        <w:rPr>
          <w:rFonts w:ascii="宋体" w:hAnsi="宋体" w:cs="宋体"/>
          <w:color w:val="auto"/>
          <w:sz w:val="24"/>
          <w:highlight w:val="none"/>
        </w:rPr>
      </w:pPr>
    </w:p>
    <w:p>
      <w:pPr>
        <w:spacing w:line="460" w:lineRule="exact"/>
        <w:rPr>
          <w:rFonts w:ascii="宋体" w:hAnsi="宋体" w:cs="宋体"/>
          <w:color w:val="auto"/>
          <w:highlight w:val="none"/>
        </w:rPr>
      </w:pPr>
    </w:p>
    <w:p>
      <w:pPr>
        <w:snapToGrid w:val="0"/>
        <w:spacing w:line="460" w:lineRule="exact"/>
        <w:ind w:firstLine="540" w:firstLineChars="192"/>
        <w:contextualSpacing/>
        <w:rPr>
          <w:rFonts w:ascii="宋体" w:hAnsi="宋体" w:cs="宋体"/>
          <w:b/>
          <w:color w:val="auto"/>
          <w:kern w:val="0"/>
          <w:sz w:val="28"/>
          <w:szCs w:val="28"/>
          <w:highlight w:val="none"/>
        </w:rPr>
      </w:pPr>
    </w:p>
    <w:p>
      <w:pPr>
        <w:snapToGrid w:val="0"/>
        <w:spacing w:line="460" w:lineRule="exact"/>
        <w:ind w:firstLine="540" w:firstLineChars="192"/>
        <w:contextualSpacing/>
        <w:rPr>
          <w:rFonts w:ascii="宋体" w:hAnsi="宋体" w:cs="宋体"/>
          <w:b/>
          <w:color w:val="auto"/>
          <w:kern w:val="0"/>
          <w:sz w:val="28"/>
          <w:szCs w:val="28"/>
          <w:highlight w:val="none"/>
          <w:lang w:val="zh-CN"/>
        </w:rPr>
      </w:pPr>
    </w:p>
    <w:p>
      <w:pPr>
        <w:snapToGrid w:val="0"/>
        <w:spacing w:line="460" w:lineRule="exact"/>
        <w:ind w:firstLine="540" w:firstLineChars="192"/>
        <w:contextualSpacing/>
        <w:rPr>
          <w:rFonts w:ascii="宋体" w:hAnsi="宋体" w:cs="宋体"/>
          <w:b/>
          <w:color w:val="auto"/>
          <w:kern w:val="0"/>
          <w:sz w:val="28"/>
          <w:szCs w:val="28"/>
          <w:highlight w:val="none"/>
          <w:lang w:val="zh-CN"/>
        </w:rPr>
      </w:pPr>
    </w:p>
    <w:p>
      <w:pPr>
        <w:snapToGrid w:val="0"/>
        <w:spacing w:line="460" w:lineRule="exact"/>
        <w:ind w:firstLine="540" w:firstLineChars="192"/>
        <w:contextualSpacing/>
        <w:rPr>
          <w:rFonts w:ascii="宋体" w:hAnsi="宋体" w:cs="宋体"/>
          <w:b/>
          <w:color w:val="auto"/>
          <w:kern w:val="0"/>
          <w:sz w:val="28"/>
          <w:szCs w:val="28"/>
          <w:highlight w:val="none"/>
          <w:lang w:val="zh-CN"/>
        </w:rPr>
      </w:pPr>
    </w:p>
    <w:p>
      <w:pPr>
        <w:snapToGrid w:val="0"/>
        <w:spacing w:line="460" w:lineRule="exact"/>
        <w:ind w:firstLine="540" w:firstLineChars="192"/>
        <w:contextualSpacing/>
        <w:rPr>
          <w:rFonts w:ascii="宋体" w:hAnsi="宋体" w:cs="宋体"/>
          <w:b/>
          <w:color w:val="auto"/>
          <w:kern w:val="0"/>
          <w:sz w:val="28"/>
          <w:szCs w:val="28"/>
          <w:highlight w:val="none"/>
          <w:lang w:val="zh-CN"/>
        </w:rPr>
      </w:pPr>
    </w:p>
    <w:p>
      <w:pPr>
        <w:snapToGrid w:val="0"/>
        <w:spacing w:line="460" w:lineRule="exact"/>
        <w:ind w:firstLine="540" w:firstLineChars="192"/>
        <w:contextualSpacing/>
        <w:rPr>
          <w:rFonts w:ascii="宋体" w:hAnsi="宋体" w:cs="宋体"/>
          <w:b/>
          <w:color w:val="auto"/>
          <w:kern w:val="0"/>
          <w:sz w:val="28"/>
          <w:szCs w:val="28"/>
          <w:highlight w:val="none"/>
          <w:lang w:val="zh-CN"/>
        </w:rPr>
      </w:pPr>
    </w:p>
    <w:p>
      <w:pPr>
        <w:snapToGrid w:val="0"/>
        <w:spacing w:line="460" w:lineRule="exact"/>
        <w:ind w:firstLine="540" w:firstLineChars="192"/>
        <w:contextualSpacing/>
        <w:rPr>
          <w:rFonts w:ascii="宋体" w:hAnsi="宋体" w:cs="宋体"/>
          <w:b/>
          <w:color w:val="auto"/>
          <w:kern w:val="0"/>
          <w:sz w:val="28"/>
          <w:szCs w:val="28"/>
          <w:highlight w:val="none"/>
          <w:lang w:val="zh-CN"/>
        </w:rPr>
      </w:pPr>
    </w:p>
    <w:p>
      <w:pPr>
        <w:snapToGrid w:val="0"/>
        <w:spacing w:line="460" w:lineRule="exact"/>
        <w:ind w:firstLine="540" w:firstLineChars="192"/>
        <w:contextualSpacing/>
        <w:rPr>
          <w:rFonts w:ascii="宋体" w:hAnsi="宋体" w:cs="宋体"/>
          <w:b/>
          <w:color w:val="auto"/>
          <w:kern w:val="0"/>
          <w:sz w:val="28"/>
          <w:szCs w:val="28"/>
          <w:highlight w:val="none"/>
          <w:lang w:val="zh-CN"/>
        </w:rPr>
      </w:pPr>
    </w:p>
    <w:p>
      <w:pPr>
        <w:snapToGrid w:val="0"/>
        <w:spacing w:line="460" w:lineRule="exact"/>
        <w:ind w:firstLine="540" w:firstLineChars="192"/>
        <w:contextualSpacing/>
        <w:rPr>
          <w:rFonts w:ascii="宋体" w:hAnsi="宋体" w:cs="宋体"/>
          <w:b/>
          <w:color w:val="auto"/>
          <w:kern w:val="0"/>
          <w:sz w:val="28"/>
          <w:szCs w:val="28"/>
          <w:highlight w:val="none"/>
          <w:lang w:val="zh-CN"/>
        </w:rPr>
      </w:pPr>
    </w:p>
    <w:p>
      <w:pPr>
        <w:snapToGrid w:val="0"/>
        <w:spacing w:line="460" w:lineRule="exact"/>
        <w:ind w:firstLine="540" w:firstLineChars="192"/>
        <w:contextualSpacing/>
        <w:rPr>
          <w:rFonts w:ascii="宋体" w:hAnsi="宋体" w:cs="宋体"/>
          <w:b/>
          <w:color w:val="auto"/>
          <w:kern w:val="0"/>
          <w:sz w:val="28"/>
          <w:szCs w:val="28"/>
          <w:highlight w:val="none"/>
          <w:lang w:val="zh-CN"/>
        </w:rPr>
      </w:pPr>
    </w:p>
    <w:p>
      <w:pPr>
        <w:snapToGrid w:val="0"/>
        <w:spacing w:line="460" w:lineRule="exact"/>
        <w:ind w:firstLine="540" w:firstLineChars="192"/>
        <w:contextualSpacing/>
        <w:rPr>
          <w:rFonts w:ascii="宋体" w:hAnsi="宋体" w:cs="宋体"/>
          <w:b/>
          <w:color w:val="auto"/>
          <w:kern w:val="0"/>
          <w:sz w:val="28"/>
          <w:szCs w:val="28"/>
          <w:highlight w:val="none"/>
          <w:lang w:val="zh-CN"/>
        </w:rPr>
      </w:pPr>
    </w:p>
    <w:p>
      <w:pPr>
        <w:snapToGrid w:val="0"/>
        <w:spacing w:line="460" w:lineRule="exact"/>
        <w:ind w:firstLine="540" w:firstLineChars="192"/>
        <w:contextualSpacing/>
        <w:rPr>
          <w:rFonts w:ascii="宋体" w:hAnsi="宋体" w:cs="宋体"/>
          <w:b/>
          <w:color w:val="auto"/>
          <w:kern w:val="0"/>
          <w:sz w:val="28"/>
          <w:szCs w:val="28"/>
          <w:highlight w:val="none"/>
          <w:lang w:val="zh-CN"/>
        </w:rPr>
      </w:pPr>
    </w:p>
    <w:p>
      <w:pPr>
        <w:snapToGrid w:val="0"/>
        <w:spacing w:line="460" w:lineRule="exact"/>
        <w:ind w:firstLine="540" w:firstLineChars="192"/>
        <w:contextualSpacing/>
        <w:rPr>
          <w:rFonts w:ascii="宋体" w:hAnsi="宋体" w:cs="宋体"/>
          <w:b/>
          <w:color w:val="auto"/>
          <w:kern w:val="0"/>
          <w:sz w:val="28"/>
          <w:szCs w:val="28"/>
          <w:highlight w:val="none"/>
          <w:lang w:val="zh-CN"/>
        </w:rPr>
      </w:pPr>
    </w:p>
    <w:p>
      <w:pPr>
        <w:pStyle w:val="20"/>
        <w:rPr>
          <w:rFonts w:ascii="宋体" w:hAnsi="宋体" w:eastAsia="宋体" w:cs="宋体"/>
          <w:b/>
          <w:color w:val="auto"/>
          <w:szCs w:val="28"/>
          <w:highlight w:val="none"/>
          <w:lang w:val="zh-CN"/>
        </w:rPr>
      </w:pPr>
    </w:p>
    <w:p>
      <w:pPr>
        <w:pStyle w:val="21"/>
        <w:rPr>
          <w:rFonts w:ascii="宋体" w:hAnsi="宋体" w:cs="宋体"/>
          <w:color w:val="auto"/>
          <w:highlight w:val="none"/>
          <w:lang w:val="zh-CN"/>
        </w:rPr>
      </w:pPr>
    </w:p>
    <w:p>
      <w:pPr>
        <w:snapToGrid w:val="0"/>
        <w:spacing w:line="460" w:lineRule="exact"/>
        <w:ind w:firstLine="540" w:firstLineChars="192"/>
        <w:contextualSpacing/>
        <w:rPr>
          <w:rFonts w:ascii="宋体" w:hAnsi="宋体" w:cs="宋体"/>
          <w:b/>
          <w:color w:val="auto"/>
          <w:kern w:val="0"/>
          <w:sz w:val="28"/>
          <w:szCs w:val="28"/>
          <w:highlight w:val="none"/>
          <w:lang w:val="zh-CN"/>
        </w:rPr>
      </w:pPr>
    </w:p>
    <w:p>
      <w:pPr>
        <w:snapToGrid w:val="0"/>
        <w:spacing w:line="460" w:lineRule="exact"/>
        <w:contextualSpacing/>
        <w:rPr>
          <w:rFonts w:ascii="宋体" w:hAnsi="宋体" w:cs="宋体"/>
          <w:b/>
          <w:color w:val="auto"/>
          <w:kern w:val="0"/>
          <w:sz w:val="28"/>
          <w:szCs w:val="28"/>
          <w:highlight w:val="none"/>
          <w:lang w:val="zh-CN"/>
        </w:rPr>
      </w:pPr>
    </w:p>
    <w:p>
      <w:pPr>
        <w:snapToGrid w:val="0"/>
        <w:spacing w:line="460" w:lineRule="exact"/>
        <w:contextualSpacing/>
        <w:rPr>
          <w:rFonts w:ascii="宋体" w:hAnsi="宋体" w:cs="宋体"/>
          <w:color w:val="auto"/>
          <w:kern w:val="0"/>
          <w:sz w:val="32"/>
          <w:szCs w:val="32"/>
          <w:highlight w:val="none"/>
          <w:lang w:val="zh-CN"/>
        </w:rPr>
      </w:pPr>
    </w:p>
    <w:p>
      <w:pPr>
        <w:snapToGrid w:val="0"/>
        <w:spacing w:line="460" w:lineRule="exact"/>
        <w:contextualSpacing/>
        <w:rPr>
          <w:rFonts w:ascii="宋体" w:hAnsi="宋体" w:cs="宋体"/>
          <w:color w:val="auto"/>
          <w:kern w:val="0"/>
          <w:sz w:val="32"/>
          <w:szCs w:val="32"/>
          <w:highlight w:val="none"/>
          <w:lang w:val="zh-CN"/>
        </w:rPr>
      </w:pPr>
      <w:r>
        <w:rPr>
          <w:rFonts w:hint="eastAsia" w:ascii="宋体" w:hAnsi="宋体" w:cs="宋体"/>
          <w:color w:val="auto"/>
          <w:kern w:val="0"/>
          <w:sz w:val="32"/>
          <w:szCs w:val="32"/>
          <w:highlight w:val="none"/>
          <w:lang w:val="zh-CN"/>
        </w:rPr>
        <w:t>附件3</w:t>
      </w:r>
    </w:p>
    <w:p>
      <w:pPr>
        <w:spacing w:line="460" w:lineRule="exact"/>
        <w:jc w:val="center"/>
        <w:rPr>
          <w:rFonts w:ascii="宋体" w:hAnsi="宋体" w:cs="宋体"/>
          <w:color w:val="auto"/>
          <w:sz w:val="32"/>
          <w:szCs w:val="32"/>
          <w:highlight w:val="none"/>
        </w:rPr>
      </w:pPr>
    </w:p>
    <w:p>
      <w:pPr>
        <w:spacing w:line="460" w:lineRule="exact"/>
        <w:ind w:firstLine="560" w:firstLineChars="200"/>
        <w:jc w:val="center"/>
        <w:rPr>
          <w:rFonts w:ascii="宋体" w:hAnsi="宋体" w:cs="宋体"/>
          <w:color w:val="auto"/>
          <w:sz w:val="28"/>
          <w:szCs w:val="28"/>
          <w:highlight w:val="none"/>
        </w:rPr>
      </w:pPr>
      <w:r>
        <w:rPr>
          <w:rFonts w:hint="eastAsia" w:ascii="宋体" w:hAnsi="宋体" w:cs="宋体"/>
          <w:color w:val="auto"/>
          <w:sz w:val="28"/>
          <w:szCs w:val="28"/>
          <w:highlight w:val="none"/>
        </w:rPr>
        <w:t>法定代表人授权委托书</w:t>
      </w:r>
    </w:p>
    <w:p>
      <w:pPr>
        <w:spacing w:line="460" w:lineRule="exact"/>
        <w:ind w:firstLine="560" w:firstLineChars="200"/>
        <w:rPr>
          <w:rFonts w:ascii="宋体" w:hAnsi="宋体" w:cs="宋体"/>
          <w:color w:val="auto"/>
          <w:sz w:val="28"/>
          <w:szCs w:val="28"/>
          <w:highlight w:val="none"/>
        </w:rPr>
      </w:pP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本人------（姓名）系————（授权单位名称）的法定代表人，现委托-------（姓名）（身份证号——————）为我方代理人，以我方名义全权处理与本次采购项目（编号：----------）有关的一切事务，其法律后果由我方承担。</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本授权书于---年---月---日起生效。代理人无转委托权。</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代理人(被授权人):------</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授权单位名称（盖章）：-----</w:t>
      </w:r>
    </w:p>
    <w:p>
      <w:pPr>
        <w:spacing w:line="46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授权单位法定代表人（签字或盖章）：-----</w:t>
      </w:r>
    </w:p>
    <w:p>
      <w:pPr>
        <w:spacing w:line="460" w:lineRule="exact"/>
        <w:ind w:firstLine="560" w:firstLineChars="200"/>
        <w:jc w:val="right"/>
        <w:rPr>
          <w:rFonts w:ascii="宋体" w:hAnsi="宋体" w:cs="宋体"/>
          <w:color w:val="auto"/>
          <w:sz w:val="28"/>
          <w:szCs w:val="28"/>
          <w:highlight w:val="none"/>
        </w:rPr>
      </w:pPr>
    </w:p>
    <w:p>
      <w:pPr>
        <w:spacing w:line="460" w:lineRule="exact"/>
        <w:ind w:firstLine="560" w:firstLineChars="200"/>
        <w:jc w:val="right"/>
        <w:rPr>
          <w:rFonts w:ascii="宋体" w:hAnsi="宋体" w:cs="宋体"/>
          <w:color w:val="auto"/>
          <w:sz w:val="28"/>
          <w:szCs w:val="28"/>
          <w:highlight w:val="none"/>
        </w:rPr>
      </w:pPr>
      <w:r>
        <w:rPr>
          <w:rFonts w:hint="eastAsia" w:ascii="宋体" w:hAnsi="宋体" w:cs="宋体"/>
          <w:color w:val="auto"/>
          <w:sz w:val="28"/>
          <w:szCs w:val="28"/>
          <w:highlight w:val="none"/>
        </w:rPr>
        <w:t>XXXX年XX月XX日</w:t>
      </w:r>
    </w:p>
    <w:p>
      <w:pPr>
        <w:snapToGrid w:val="0"/>
        <w:spacing w:line="460" w:lineRule="exact"/>
        <w:ind w:firstLine="562" w:firstLineChars="200"/>
        <w:contextualSpacing/>
        <w:rPr>
          <w:rFonts w:ascii="宋体" w:hAnsi="宋体" w:cs="宋体"/>
          <w:b/>
          <w:color w:val="auto"/>
          <w:kern w:val="0"/>
          <w:sz w:val="28"/>
          <w:szCs w:val="28"/>
          <w:highlight w:val="none"/>
        </w:rPr>
      </w:pPr>
    </w:p>
    <w:p>
      <w:pPr>
        <w:snapToGrid w:val="0"/>
        <w:spacing w:line="460" w:lineRule="exact"/>
        <w:ind w:firstLine="562" w:firstLineChars="200"/>
        <w:contextualSpacing/>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注：提供投标代表本人身份证复印件盖公章</w:t>
      </w: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pacing w:line="360" w:lineRule="exact"/>
        <w:outlineLvl w:val="3"/>
        <w:rPr>
          <w:rFonts w:ascii="宋体" w:hAnsi="宋体" w:cs="宋体"/>
          <w:b/>
          <w:color w:val="auto"/>
          <w:sz w:val="28"/>
          <w:szCs w:val="28"/>
          <w:highlight w:val="none"/>
          <w:lang w:bidi="ar"/>
        </w:rPr>
      </w:pPr>
      <w:r>
        <w:rPr>
          <w:rFonts w:hint="eastAsia" w:ascii="宋体" w:hAnsi="宋体" w:cs="宋体"/>
          <w:b/>
          <w:color w:val="auto"/>
          <w:sz w:val="32"/>
          <w:szCs w:val="32"/>
          <w:highlight w:val="none"/>
          <w:lang w:bidi="ar"/>
        </w:rPr>
        <w:br w:type="page"/>
      </w:r>
      <w:r>
        <w:rPr>
          <w:rFonts w:hint="eastAsia" w:ascii="宋体" w:hAnsi="宋体" w:cs="宋体"/>
          <w:color w:val="auto"/>
          <w:sz w:val="28"/>
          <w:szCs w:val="28"/>
          <w:highlight w:val="none"/>
        </w:rPr>
        <w:t>附件4</w:t>
      </w:r>
    </w:p>
    <w:p>
      <w:pPr>
        <w:snapToGrid w:val="0"/>
        <w:spacing w:line="300" w:lineRule="auto"/>
        <w:contextualSpacing/>
        <w:jc w:val="center"/>
        <w:rPr>
          <w:rFonts w:ascii="宋体" w:hAnsi="宋体" w:cs="宋体"/>
          <w:b/>
          <w:color w:val="auto"/>
          <w:sz w:val="28"/>
          <w:szCs w:val="28"/>
          <w:highlight w:val="none"/>
        </w:rPr>
      </w:pPr>
      <w:r>
        <w:rPr>
          <w:rFonts w:hint="eastAsia" w:ascii="宋体" w:hAnsi="宋体" w:cs="宋体"/>
          <w:b/>
          <w:color w:val="auto"/>
          <w:sz w:val="28"/>
          <w:szCs w:val="28"/>
          <w:highlight w:val="none"/>
        </w:rPr>
        <w:t>商务部分正负偏离表</w:t>
      </w:r>
    </w:p>
    <w:p>
      <w:pPr>
        <w:ind w:firstLine="560" w:firstLineChars="200"/>
        <w:jc w:val="center"/>
        <w:rPr>
          <w:rFonts w:ascii="宋体" w:hAnsi="宋体" w:cs="宋体"/>
          <w:color w:val="auto"/>
          <w:sz w:val="28"/>
          <w:szCs w:val="28"/>
          <w:highlight w:val="none"/>
        </w:rPr>
      </w:pPr>
      <w:r>
        <w:rPr>
          <w:rFonts w:hint="eastAsia" w:ascii="宋体" w:hAnsi="宋体" w:cs="宋体"/>
          <w:color w:val="auto"/>
          <w:sz w:val="28"/>
          <w:szCs w:val="28"/>
          <w:highlight w:val="none"/>
        </w:rPr>
        <w:t>（由供应商据实填写，表格不够自行添加）</w:t>
      </w:r>
    </w:p>
    <w:tbl>
      <w:tblPr>
        <w:tblStyle w:val="37"/>
        <w:tblW w:w="5000" w:type="pct"/>
        <w:tblInd w:w="-1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3"/>
        <w:gridCol w:w="2221"/>
        <w:gridCol w:w="1896"/>
        <w:gridCol w:w="2153"/>
        <w:gridCol w:w="14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59" w:type="pct"/>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序号</w:t>
            </w:r>
          </w:p>
        </w:tc>
        <w:tc>
          <w:tcPr>
            <w:tcW w:w="1302"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货物或服务名称</w:t>
            </w:r>
          </w:p>
        </w:tc>
        <w:tc>
          <w:tcPr>
            <w:tcW w:w="1111"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招标文件要求的商务条款</w:t>
            </w:r>
          </w:p>
        </w:tc>
        <w:tc>
          <w:tcPr>
            <w:tcW w:w="1262"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响应文件</w:t>
            </w:r>
          </w:p>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响应情况</w:t>
            </w:r>
          </w:p>
        </w:tc>
        <w:tc>
          <w:tcPr>
            <w:tcW w:w="864" w:type="pct"/>
            <w:tcBorders>
              <w:top w:val="single" w:color="auto" w:sz="12" w:space="0"/>
              <w:left w:val="single" w:color="auto" w:sz="6" w:space="0"/>
              <w:bottom w:val="single" w:color="auto" w:sz="6" w:space="0"/>
              <w:right w:val="single" w:color="auto" w:sz="12" w:space="0"/>
            </w:tcBorders>
          </w:tcPr>
          <w:p>
            <w:pPr>
              <w:spacing w:line="340" w:lineRule="exact"/>
              <w:jc w:val="center"/>
              <w:rPr>
                <w:rFonts w:ascii="宋体" w:hAnsi="宋体" w:cs="宋体"/>
                <w:color w:val="auto"/>
                <w:sz w:val="28"/>
                <w:szCs w:val="28"/>
                <w:highlight w:val="none"/>
              </w:rPr>
            </w:pPr>
          </w:p>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59"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1</w:t>
            </w:r>
          </w:p>
        </w:tc>
        <w:tc>
          <w:tcPr>
            <w:tcW w:w="1302"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1111"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1262"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864" w:type="pct"/>
            <w:tcBorders>
              <w:top w:val="single" w:color="auto" w:sz="6" w:space="0"/>
              <w:left w:val="single" w:color="auto" w:sz="6" w:space="0"/>
              <w:bottom w:val="single" w:color="auto" w:sz="6" w:space="0"/>
              <w:right w:val="single" w:color="auto" w:sz="12" w:space="0"/>
            </w:tcBorders>
          </w:tcPr>
          <w:p>
            <w:pPr>
              <w:spacing w:line="340" w:lineRule="exact"/>
              <w:jc w:val="left"/>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459"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2</w:t>
            </w:r>
          </w:p>
        </w:tc>
        <w:tc>
          <w:tcPr>
            <w:tcW w:w="1302"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1111"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1262"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864" w:type="pct"/>
            <w:tcBorders>
              <w:top w:val="single" w:color="auto" w:sz="6" w:space="0"/>
              <w:left w:val="single" w:color="auto" w:sz="6" w:space="0"/>
              <w:bottom w:val="single" w:color="auto" w:sz="6" w:space="0"/>
              <w:right w:val="single" w:color="auto" w:sz="12" w:space="0"/>
            </w:tcBorders>
          </w:tcPr>
          <w:p>
            <w:pPr>
              <w:spacing w:line="340" w:lineRule="exact"/>
              <w:jc w:val="left"/>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59"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3</w:t>
            </w:r>
          </w:p>
        </w:tc>
        <w:tc>
          <w:tcPr>
            <w:tcW w:w="1302"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1111"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1262"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864" w:type="pct"/>
            <w:tcBorders>
              <w:top w:val="single" w:color="auto" w:sz="6" w:space="0"/>
              <w:left w:val="single" w:color="auto" w:sz="6" w:space="0"/>
              <w:bottom w:val="single" w:color="auto" w:sz="6" w:space="0"/>
              <w:right w:val="single" w:color="auto" w:sz="12" w:space="0"/>
            </w:tcBorders>
          </w:tcPr>
          <w:p>
            <w:pPr>
              <w:spacing w:line="340" w:lineRule="exact"/>
              <w:jc w:val="left"/>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59"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4</w:t>
            </w:r>
          </w:p>
        </w:tc>
        <w:tc>
          <w:tcPr>
            <w:tcW w:w="1302"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1111"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1262"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864" w:type="pct"/>
            <w:tcBorders>
              <w:top w:val="single" w:color="auto" w:sz="6" w:space="0"/>
              <w:left w:val="single" w:color="auto" w:sz="6" w:space="0"/>
              <w:bottom w:val="single" w:color="auto" w:sz="6" w:space="0"/>
              <w:right w:val="single" w:color="auto" w:sz="12" w:space="0"/>
            </w:tcBorders>
          </w:tcPr>
          <w:p>
            <w:pPr>
              <w:spacing w:line="340" w:lineRule="exact"/>
              <w:jc w:val="left"/>
              <w:rPr>
                <w:rFonts w:ascii="宋体" w:hAnsi="宋体" w:cs="宋体"/>
                <w:color w:val="auto"/>
                <w:sz w:val="28"/>
                <w:szCs w:val="28"/>
                <w:highlight w:val="none"/>
              </w:rPr>
            </w:pPr>
          </w:p>
        </w:tc>
      </w:tr>
    </w:tbl>
    <w:p>
      <w:pPr>
        <w:snapToGrid w:val="0"/>
        <w:spacing w:line="300" w:lineRule="auto"/>
        <w:contextualSpacing/>
        <w:rPr>
          <w:rFonts w:ascii="宋体" w:hAnsi="宋体" w:cs="宋体"/>
          <w:b/>
          <w:color w:val="auto"/>
          <w:sz w:val="28"/>
          <w:szCs w:val="28"/>
          <w:highlight w:val="none"/>
        </w:rPr>
      </w:pPr>
      <w:r>
        <w:rPr>
          <w:rFonts w:hint="eastAsia" w:ascii="宋体" w:hAnsi="宋体" w:cs="宋体"/>
          <w:b/>
          <w:color w:val="auto"/>
          <w:sz w:val="28"/>
          <w:szCs w:val="28"/>
          <w:highlight w:val="none"/>
        </w:rPr>
        <w:t>注：</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1.供应商提交的响应文件中与采购文件第三部分“项目需求”中的商务部分的要求，应逐条填列在偏离表中。</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2.“偏离说明”一栏选择“正偏离”、“负偏离”、“无偏离”进行填写。正偏离、负偏离、无偏离的确认，由评审小组认定。</w:t>
      </w:r>
    </w:p>
    <w:p>
      <w:pPr>
        <w:snapToGrid w:val="0"/>
        <w:spacing w:line="300" w:lineRule="auto"/>
        <w:ind w:firstLine="560" w:firstLineChars="200"/>
        <w:contextualSpacing/>
        <w:rPr>
          <w:rFonts w:ascii="宋体" w:hAnsi="宋体" w:cs="宋体"/>
          <w:bCs/>
          <w:color w:val="auto"/>
          <w:sz w:val="28"/>
          <w:szCs w:val="28"/>
          <w:highlight w:val="none"/>
        </w:rPr>
      </w:pPr>
      <w:r>
        <w:rPr>
          <w:rFonts w:hint="eastAsia" w:ascii="宋体" w:hAnsi="宋体" w:cs="宋体"/>
          <w:bCs/>
          <w:color w:val="auto"/>
          <w:sz w:val="28"/>
          <w:szCs w:val="28"/>
          <w:highlight w:val="none"/>
        </w:rPr>
        <w:t>3.供应商若提供其他增值服务，可以在表中自行据实填写。</w:t>
      </w: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ind w:firstLine="540" w:firstLineChars="192"/>
        <w:contextualSpacing/>
        <w:rPr>
          <w:rFonts w:ascii="宋体" w:hAnsi="宋体" w:cs="宋体"/>
          <w:b/>
          <w:color w:val="auto"/>
          <w:kern w:val="0"/>
          <w:sz w:val="28"/>
          <w:szCs w:val="28"/>
          <w:highlight w:val="none"/>
        </w:rPr>
      </w:pPr>
    </w:p>
    <w:p>
      <w:pPr>
        <w:snapToGrid w:val="0"/>
        <w:spacing w:line="400" w:lineRule="exact"/>
        <w:contextualSpacing/>
        <w:rPr>
          <w:rFonts w:ascii="宋体" w:hAnsi="宋体" w:cs="宋体"/>
          <w:color w:val="auto"/>
          <w:kern w:val="0"/>
          <w:sz w:val="28"/>
          <w:szCs w:val="28"/>
          <w:highlight w:val="none"/>
        </w:rPr>
      </w:pPr>
    </w:p>
    <w:p>
      <w:pPr>
        <w:rPr>
          <w:rFonts w:ascii="宋体" w:hAnsi="宋体" w:cs="宋体"/>
          <w:color w:val="auto"/>
          <w:sz w:val="28"/>
          <w:szCs w:val="28"/>
          <w:highlight w:val="none"/>
        </w:rPr>
      </w:pPr>
      <w:r>
        <w:rPr>
          <w:rFonts w:hint="eastAsia" w:ascii="宋体" w:hAnsi="宋体" w:cs="宋体"/>
          <w:color w:val="auto"/>
          <w:sz w:val="28"/>
          <w:szCs w:val="28"/>
          <w:highlight w:val="none"/>
        </w:rPr>
        <w:br w:type="page"/>
      </w:r>
      <w:r>
        <w:rPr>
          <w:rFonts w:hint="eastAsia" w:ascii="宋体" w:hAnsi="宋体" w:cs="宋体"/>
          <w:color w:val="auto"/>
          <w:sz w:val="28"/>
          <w:szCs w:val="28"/>
          <w:highlight w:val="none"/>
        </w:rPr>
        <w:t>附件5</w:t>
      </w:r>
    </w:p>
    <w:p>
      <w:pPr>
        <w:snapToGrid w:val="0"/>
        <w:spacing w:line="300" w:lineRule="auto"/>
        <w:contextualSpacing/>
        <w:jc w:val="center"/>
        <w:rPr>
          <w:rFonts w:ascii="宋体" w:hAnsi="宋体" w:cs="宋体"/>
          <w:b/>
          <w:color w:val="auto"/>
          <w:sz w:val="28"/>
          <w:szCs w:val="28"/>
          <w:highlight w:val="none"/>
        </w:rPr>
      </w:pPr>
      <w:r>
        <w:rPr>
          <w:rFonts w:hint="eastAsia" w:ascii="宋体" w:hAnsi="宋体" w:cs="宋体"/>
          <w:b/>
          <w:color w:val="auto"/>
          <w:sz w:val="28"/>
          <w:szCs w:val="28"/>
          <w:highlight w:val="none"/>
        </w:rPr>
        <w:t>技术部分正负偏离表</w:t>
      </w:r>
    </w:p>
    <w:p>
      <w:pPr>
        <w:ind w:firstLine="560" w:firstLineChars="200"/>
        <w:jc w:val="center"/>
        <w:rPr>
          <w:rFonts w:ascii="宋体" w:hAnsi="宋体" w:cs="宋体"/>
          <w:color w:val="auto"/>
          <w:sz w:val="28"/>
          <w:szCs w:val="28"/>
          <w:highlight w:val="none"/>
        </w:rPr>
      </w:pPr>
      <w:r>
        <w:rPr>
          <w:rFonts w:hint="eastAsia" w:ascii="宋体" w:hAnsi="宋体" w:cs="宋体"/>
          <w:color w:val="auto"/>
          <w:sz w:val="28"/>
          <w:szCs w:val="28"/>
          <w:highlight w:val="none"/>
        </w:rPr>
        <w:t>（由供应商据实填写，表格不够自行添加）</w:t>
      </w:r>
    </w:p>
    <w:tbl>
      <w:tblPr>
        <w:tblStyle w:val="37"/>
        <w:tblW w:w="5000" w:type="pct"/>
        <w:tblInd w:w="-1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3"/>
        <w:gridCol w:w="2139"/>
        <w:gridCol w:w="1943"/>
        <w:gridCol w:w="2506"/>
        <w:gridCol w:w="11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59" w:type="pct"/>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序号</w:t>
            </w:r>
          </w:p>
        </w:tc>
        <w:tc>
          <w:tcPr>
            <w:tcW w:w="1254"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货物或服务名称</w:t>
            </w:r>
          </w:p>
        </w:tc>
        <w:tc>
          <w:tcPr>
            <w:tcW w:w="1139"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招标文件要求的技术要求</w:t>
            </w:r>
          </w:p>
        </w:tc>
        <w:tc>
          <w:tcPr>
            <w:tcW w:w="1469" w:type="pct"/>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响应文件响应情况</w:t>
            </w:r>
          </w:p>
        </w:tc>
        <w:tc>
          <w:tcPr>
            <w:tcW w:w="678" w:type="pct"/>
            <w:tcBorders>
              <w:top w:val="single" w:color="auto" w:sz="12" w:space="0"/>
              <w:left w:val="single" w:color="auto" w:sz="6" w:space="0"/>
              <w:bottom w:val="single" w:color="auto" w:sz="6" w:space="0"/>
              <w:right w:val="single" w:color="auto" w:sz="12" w:space="0"/>
            </w:tcBorders>
          </w:tcPr>
          <w:p>
            <w:pPr>
              <w:spacing w:line="340" w:lineRule="exact"/>
              <w:jc w:val="center"/>
              <w:rPr>
                <w:rFonts w:ascii="宋体" w:hAnsi="宋体" w:cs="宋体"/>
                <w:color w:val="auto"/>
                <w:sz w:val="28"/>
                <w:szCs w:val="28"/>
                <w:highlight w:val="none"/>
              </w:rPr>
            </w:pPr>
          </w:p>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59"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1</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1139"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1469"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6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459"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2</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1139"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1469"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6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59"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3</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1139"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1469"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6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宋体" w:hAnsi="宋体" w:cs="宋体"/>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59" w:type="pct"/>
            <w:tcBorders>
              <w:top w:val="single" w:color="auto" w:sz="6" w:space="0"/>
              <w:left w:val="single" w:color="auto" w:sz="12" w:space="0"/>
              <w:bottom w:val="single" w:color="auto" w:sz="6" w:space="0"/>
              <w:right w:val="single" w:color="auto" w:sz="6" w:space="0"/>
            </w:tcBorders>
          </w:tcPr>
          <w:p>
            <w:pPr>
              <w:spacing w:line="3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4</w:t>
            </w:r>
          </w:p>
        </w:tc>
        <w:tc>
          <w:tcPr>
            <w:tcW w:w="1254"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1139"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1469" w:type="pct"/>
            <w:tcBorders>
              <w:top w:val="single" w:color="auto" w:sz="6" w:space="0"/>
              <w:left w:val="single" w:color="auto" w:sz="6" w:space="0"/>
              <w:bottom w:val="single" w:color="auto" w:sz="6" w:space="0"/>
              <w:right w:val="single" w:color="auto" w:sz="6" w:space="0"/>
            </w:tcBorders>
            <w:vAlign w:val="center"/>
          </w:tcPr>
          <w:p>
            <w:pPr>
              <w:spacing w:line="340" w:lineRule="exact"/>
              <w:jc w:val="left"/>
              <w:rPr>
                <w:rFonts w:ascii="宋体" w:hAnsi="宋体" w:cs="宋体"/>
                <w:color w:val="auto"/>
                <w:sz w:val="28"/>
                <w:szCs w:val="28"/>
                <w:highlight w:val="none"/>
              </w:rPr>
            </w:pPr>
          </w:p>
        </w:tc>
        <w:tc>
          <w:tcPr>
            <w:tcW w:w="678" w:type="pct"/>
            <w:tcBorders>
              <w:top w:val="single" w:color="auto" w:sz="6" w:space="0"/>
              <w:left w:val="single" w:color="auto" w:sz="6" w:space="0"/>
              <w:bottom w:val="single" w:color="auto" w:sz="6" w:space="0"/>
              <w:right w:val="single" w:color="auto" w:sz="12" w:space="0"/>
            </w:tcBorders>
          </w:tcPr>
          <w:p>
            <w:pPr>
              <w:spacing w:line="340" w:lineRule="exact"/>
              <w:jc w:val="left"/>
              <w:rPr>
                <w:rFonts w:ascii="宋体" w:hAnsi="宋体" w:cs="宋体"/>
                <w:color w:val="auto"/>
                <w:sz w:val="28"/>
                <w:szCs w:val="28"/>
                <w:highlight w:val="none"/>
              </w:rPr>
            </w:pPr>
          </w:p>
        </w:tc>
      </w:tr>
    </w:tbl>
    <w:p>
      <w:pPr>
        <w:snapToGrid w:val="0"/>
        <w:spacing w:line="300" w:lineRule="auto"/>
        <w:contextualSpacing/>
        <w:rPr>
          <w:rFonts w:ascii="宋体" w:hAnsi="宋体" w:cs="宋体"/>
          <w:b/>
          <w:color w:val="auto"/>
          <w:sz w:val="28"/>
          <w:szCs w:val="28"/>
          <w:highlight w:val="none"/>
        </w:rPr>
      </w:pPr>
      <w:r>
        <w:rPr>
          <w:rFonts w:hint="eastAsia" w:ascii="宋体" w:hAnsi="宋体" w:cs="宋体"/>
          <w:b/>
          <w:color w:val="auto"/>
          <w:sz w:val="28"/>
          <w:szCs w:val="28"/>
          <w:highlight w:val="none"/>
        </w:rPr>
        <w:t>注：</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1.供应商提交的响应文件中与采购文件第三部分“项目需求”中的技术部分的要求，应逐条填列在偏离表中。</w:t>
      </w:r>
    </w:p>
    <w:p>
      <w:pPr>
        <w:snapToGrid w:val="0"/>
        <w:spacing w:line="30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2.“偏离说明”一栏选择“正偏离”、“负偏离”、“无偏离”进行填写。正偏离、负偏离、无偏离的确认，由评审小组认定。</w:t>
      </w:r>
    </w:p>
    <w:p>
      <w:pPr>
        <w:snapToGrid w:val="0"/>
        <w:spacing w:line="400" w:lineRule="exact"/>
        <w:ind w:firstLine="560" w:firstLineChars="200"/>
        <w:contextualSpacing/>
        <w:rPr>
          <w:rFonts w:ascii="宋体" w:hAnsi="宋体" w:cs="宋体"/>
          <w:bCs/>
          <w:color w:val="auto"/>
          <w:sz w:val="28"/>
          <w:szCs w:val="28"/>
          <w:highlight w:val="none"/>
        </w:rPr>
      </w:pPr>
      <w:r>
        <w:rPr>
          <w:rFonts w:hint="eastAsia" w:ascii="宋体" w:hAnsi="宋体" w:cs="宋体"/>
          <w:bCs/>
          <w:color w:val="auto"/>
          <w:sz w:val="28"/>
          <w:szCs w:val="28"/>
          <w:highlight w:val="none"/>
        </w:rPr>
        <w:t>3.供应商若提供其他增值服务，可以在表中自行据实填写。</w:t>
      </w:r>
    </w:p>
    <w:p>
      <w:pPr>
        <w:snapToGrid w:val="0"/>
        <w:spacing w:line="400" w:lineRule="exact"/>
        <w:contextualSpacing/>
        <w:rPr>
          <w:rFonts w:ascii="宋体" w:hAnsi="宋体" w:cs="宋体"/>
          <w:color w:val="auto"/>
          <w:kern w:val="0"/>
          <w:sz w:val="32"/>
          <w:szCs w:val="32"/>
          <w:highlight w:val="none"/>
        </w:rPr>
      </w:pPr>
      <w:r>
        <w:rPr>
          <w:rFonts w:hint="eastAsia" w:ascii="宋体" w:hAnsi="宋体" w:cs="宋体"/>
          <w:color w:val="auto"/>
          <w:kern w:val="0"/>
          <w:sz w:val="32"/>
          <w:szCs w:val="32"/>
          <w:highlight w:val="none"/>
        </w:rPr>
        <w:br w:type="page"/>
      </w:r>
      <w:r>
        <w:rPr>
          <w:rFonts w:hint="eastAsia" w:ascii="宋体" w:hAnsi="宋体" w:cs="宋体"/>
          <w:color w:val="auto"/>
          <w:kern w:val="0"/>
          <w:sz w:val="32"/>
          <w:szCs w:val="32"/>
          <w:highlight w:val="none"/>
        </w:rPr>
        <w:t>附件6</w:t>
      </w:r>
    </w:p>
    <w:p>
      <w:pPr>
        <w:widowControl/>
        <w:spacing w:before="100" w:beforeAutospacing="1" w:after="100" w:afterAutospacing="1" w:line="500" w:lineRule="atLeast"/>
        <w:jc w:val="center"/>
        <w:rPr>
          <w:rFonts w:ascii="宋体" w:hAnsi="宋体" w:cs="宋体"/>
          <w:color w:val="auto"/>
          <w:kern w:val="0"/>
          <w:sz w:val="32"/>
          <w:szCs w:val="32"/>
          <w:highlight w:val="none"/>
        </w:rPr>
      </w:pPr>
      <w:r>
        <w:rPr>
          <w:rFonts w:hint="eastAsia" w:ascii="宋体" w:hAnsi="宋体" w:cs="宋体"/>
          <w:b/>
          <w:bCs/>
          <w:color w:val="auto"/>
          <w:kern w:val="0"/>
          <w:sz w:val="32"/>
          <w:szCs w:val="32"/>
          <w:highlight w:val="none"/>
        </w:rPr>
        <w:t>开  标 一 览  表</w:t>
      </w:r>
    </w:p>
    <w:p>
      <w:pPr>
        <w:rPr>
          <w:rFonts w:ascii="宋体" w:hAnsi="宋体" w:cs="宋体"/>
          <w:color w:val="auto"/>
          <w:kern w:val="0"/>
          <w:sz w:val="28"/>
          <w:szCs w:val="28"/>
          <w:highlight w:val="none"/>
          <w:u w:val="single"/>
        </w:rPr>
      </w:pPr>
      <w:r>
        <w:rPr>
          <w:rFonts w:hint="eastAsia" w:ascii="宋体" w:hAnsi="宋体" w:cs="宋体"/>
          <w:color w:val="auto"/>
          <w:kern w:val="0"/>
          <w:sz w:val="28"/>
          <w:szCs w:val="28"/>
          <w:highlight w:val="none"/>
        </w:rPr>
        <w:t>投标人全称（加盖公章）：</w:t>
      </w:r>
    </w:p>
    <w:p>
      <w:pPr>
        <w:rPr>
          <w:rFonts w:ascii="宋体" w:hAnsi="宋体" w:cs="宋体"/>
          <w:color w:val="auto"/>
          <w:kern w:val="0"/>
          <w:sz w:val="28"/>
          <w:szCs w:val="28"/>
          <w:highlight w:val="none"/>
          <w:u w:val="single"/>
        </w:rPr>
      </w:pPr>
      <w:r>
        <w:rPr>
          <w:rFonts w:hint="eastAsia" w:ascii="宋体" w:hAnsi="宋体" w:cs="宋体"/>
          <w:color w:val="auto"/>
          <w:kern w:val="0"/>
          <w:sz w:val="28"/>
          <w:szCs w:val="28"/>
          <w:highlight w:val="none"/>
        </w:rPr>
        <w:t>项目名称：</w:t>
      </w:r>
    </w:p>
    <w:p>
      <w:pPr>
        <w:rPr>
          <w:rFonts w:ascii="宋体" w:hAnsi="宋体" w:cs="宋体"/>
          <w:color w:val="auto"/>
          <w:kern w:val="0"/>
          <w:sz w:val="28"/>
          <w:szCs w:val="28"/>
          <w:highlight w:val="none"/>
        </w:rPr>
      </w:pPr>
      <w:r>
        <w:rPr>
          <w:rFonts w:hint="eastAsia" w:ascii="宋体" w:hAnsi="宋体" w:cs="宋体"/>
          <w:color w:val="auto"/>
          <w:kern w:val="0"/>
          <w:sz w:val="28"/>
          <w:szCs w:val="28"/>
          <w:highlight w:val="none"/>
        </w:rPr>
        <w:t>项目编号：</w:t>
      </w:r>
    </w:p>
    <w:p>
      <w:pPr>
        <w:rPr>
          <w:rFonts w:ascii="宋体" w:hAnsi="宋体" w:cs="宋体"/>
          <w:color w:val="auto"/>
          <w:kern w:val="0"/>
          <w:sz w:val="28"/>
          <w:szCs w:val="28"/>
          <w:highlight w:val="none"/>
        </w:rPr>
      </w:pPr>
      <w:r>
        <w:rPr>
          <w:rFonts w:hint="eastAsia" w:ascii="宋体" w:hAnsi="宋体" w:cs="宋体"/>
          <w:color w:val="auto"/>
          <w:kern w:val="0"/>
          <w:sz w:val="28"/>
          <w:szCs w:val="28"/>
          <w:highlight w:val="none"/>
        </w:rPr>
        <w:t>分包号：</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cs="宋体"/>
                <w:color w:val="auto"/>
                <w:szCs w:val="22"/>
                <w:highlight w:val="none"/>
              </w:rPr>
            </w:pPr>
            <w:r>
              <w:rPr>
                <w:rFonts w:hint="eastAsia" w:ascii="宋体" w:hAnsi="宋体" w:cs="宋体"/>
                <w:color w:val="auto"/>
                <w:kern w:val="0"/>
                <w:sz w:val="28"/>
                <w:szCs w:val="28"/>
                <w:highlight w:val="none"/>
              </w:rPr>
              <w:t>投标产品名称</w:t>
            </w:r>
          </w:p>
        </w:tc>
        <w:tc>
          <w:tcPr>
            <w:tcW w:w="4607" w:type="dxa"/>
          </w:tcPr>
          <w:p>
            <w:pPr>
              <w:jc w:val="center"/>
              <w:rPr>
                <w:rFonts w:ascii="宋体" w:hAnsi="宋体" w:cs="宋体"/>
                <w:color w:val="auto"/>
                <w:szCs w:val="22"/>
                <w:highlight w:val="none"/>
              </w:rPr>
            </w:pPr>
            <w:r>
              <w:rPr>
                <w:rFonts w:hint="eastAsia" w:ascii="宋体" w:hAnsi="宋体" w:cs="宋体"/>
                <w:color w:val="auto"/>
                <w:kern w:val="0"/>
                <w:sz w:val="28"/>
                <w:szCs w:val="28"/>
                <w:highlight w:val="none"/>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4148" w:type="dxa"/>
          </w:tcPr>
          <w:p>
            <w:pPr>
              <w:rPr>
                <w:rFonts w:ascii="宋体" w:hAnsi="宋体" w:cs="宋体"/>
                <w:color w:val="auto"/>
                <w:szCs w:val="22"/>
                <w:highlight w:val="none"/>
              </w:rPr>
            </w:pPr>
          </w:p>
        </w:tc>
        <w:tc>
          <w:tcPr>
            <w:tcW w:w="4607" w:type="dxa"/>
            <w:vAlign w:val="center"/>
          </w:tcPr>
          <w:p>
            <w:pPr>
              <w:jc w:val="center"/>
              <w:rPr>
                <w:rFonts w:ascii="宋体" w:hAnsi="宋体" w:cs="宋体"/>
                <w:color w:val="auto"/>
                <w:sz w:val="28"/>
                <w:szCs w:val="32"/>
                <w:highlight w:val="none"/>
              </w:rPr>
            </w:pPr>
            <w:r>
              <w:rPr>
                <w:rFonts w:hint="eastAsia" w:ascii="宋体" w:hAnsi="宋体" w:cs="宋体"/>
                <w:color w:val="auto"/>
                <w:sz w:val="28"/>
                <w:szCs w:val="32"/>
                <w:highlight w:val="none"/>
              </w:rPr>
              <w:t>大写：</w:t>
            </w:r>
            <w:r>
              <w:rPr>
                <w:rFonts w:hint="eastAsia" w:ascii="宋体" w:hAnsi="宋体" w:cs="宋体"/>
                <w:color w:val="auto"/>
                <w:sz w:val="28"/>
                <w:szCs w:val="32"/>
                <w:highlight w:val="none"/>
                <w:u w:val="single"/>
              </w:rPr>
              <w:t xml:space="preserve">      </w:t>
            </w:r>
            <w:r>
              <w:rPr>
                <w:rFonts w:hint="eastAsia" w:ascii="宋体" w:hAnsi="宋体" w:cs="宋体"/>
                <w:color w:val="auto"/>
                <w:sz w:val="28"/>
                <w:szCs w:val="32"/>
                <w:highlight w:val="none"/>
              </w:rPr>
              <w:t>元</w:t>
            </w:r>
          </w:p>
          <w:p>
            <w:pPr>
              <w:jc w:val="center"/>
              <w:rPr>
                <w:rFonts w:ascii="宋体" w:hAnsi="宋体" w:cs="宋体"/>
                <w:color w:val="auto"/>
                <w:szCs w:val="22"/>
                <w:highlight w:val="none"/>
                <w:u w:val="single"/>
              </w:rPr>
            </w:pPr>
            <w:r>
              <w:rPr>
                <w:rFonts w:hint="eastAsia" w:ascii="宋体" w:hAnsi="宋体" w:cs="宋体"/>
                <w:color w:val="auto"/>
                <w:sz w:val="28"/>
                <w:szCs w:val="32"/>
                <w:highlight w:val="none"/>
              </w:rPr>
              <w:t>小写：</w:t>
            </w:r>
            <w:r>
              <w:rPr>
                <w:rFonts w:hint="eastAsia" w:ascii="宋体" w:hAnsi="宋体" w:cs="宋体"/>
                <w:color w:val="auto"/>
                <w:sz w:val="28"/>
                <w:szCs w:val="32"/>
                <w:highlight w:val="none"/>
                <w:u w:val="single"/>
              </w:rPr>
              <w:t xml:space="preserve">      </w:t>
            </w:r>
            <w:r>
              <w:rPr>
                <w:rFonts w:hint="eastAsia" w:ascii="宋体" w:hAnsi="宋体" w:cs="宋体"/>
                <w:color w:val="auto"/>
                <w:sz w:val="28"/>
                <w:szCs w:val="32"/>
                <w:highlight w:val="none"/>
              </w:rPr>
              <w:t>元</w:t>
            </w:r>
          </w:p>
        </w:tc>
      </w:tr>
    </w:tbl>
    <w:p>
      <w:pPr>
        <w:rPr>
          <w:rFonts w:ascii="宋体" w:hAnsi="宋体" w:cs="宋体"/>
          <w:color w:val="auto"/>
          <w:kern w:val="0"/>
          <w:sz w:val="28"/>
          <w:szCs w:val="28"/>
          <w:highlight w:val="none"/>
        </w:rPr>
      </w:pPr>
      <w:r>
        <w:rPr>
          <w:rFonts w:hint="eastAsia" w:ascii="宋体" w:hAnsi="宋体" w:cs="宋体"/>
          <w:color w:val="auto"/>
          <w:kern w:val="0"/>
          <w:sz w:val="28"/>
          <w:szCs w:val="28"/>
          <w:highlight w:val="none"/>
        </w:rPr>
        <w:t>日期：</w:t>
      </w:r>
    </w:p>
    <w:p>
      <w:pPr>
        <w:spacing w:line="460" w:lineRule="exact"/>
        <w:rPr>
          <w:rFonts w:ascii="宋体" w:hAnsi="宋体" w:cs="宋体"/>
          <w:color w:val="auto"/>
          <w:kern w:val="0"/>
          <w:sz w:val="28"/>
          <w:szCs w:val="28"/>
          <w:highlight w:val="none"/>
        </w:rPr>
      </w:pPr>
      <w:r>
        <w:rPr>
          <w:rFonts w:hint="eastAsia" w:ascii="宋体" w:hAnsi="宋体" w:cs="宋体"/>
          <w:color w:val="auto"/>
          <w:kern w:val="0"/>
          <w:sz w:val="28"/>
          <w:szCs w:val="28"/>
          <w:highlight w:val="none"/>
        </w:rPr>
        <w:t>填写说明：</w:t>
      </w:r>
    </w:p>
    <w:p>
      <w:pPr>
        <w:spacing w:line="460" w:lineRule="exact"/>
        <w:rPr>
          <w:rFonts w:ascii="宋体" w:hAnsi="宋体" w:cs="宋体"/>
          <w:color w:val="auto"/>
          <w:kern w:val="0"/>
          <w:sz w:val="28"/>
          <w:szCs w:val="28"/>
          <w:highlight w:val="none"/>
        </w:rPr>
      </w:pPr>
      <w:r>
        <w:rPr>
          <w:rFonts w:hint="eastAsia" w:ascii="宋体" w:hAnsi="宋体" w:cs="宋体"/>
          <w:color w:val="auto"/>
          <w:kern w:val="0"/>
          <w:sz w:val="28"/>
          <w:szCs w:val="28"/>
          <w:highlight w:val="none"/>
        </w:rPr>
        <w:t>1、开标一览表必须加盖投标单位公章（复印件无效）。</w:t>
      </w:r>
    </w:p>
    <w:p>
      <w:pPr>
        <w:spacing w:line="460" w:lineRule="exact"/>
        <w:rPr>
          <w:rFonts w:ascii="宋体" w:hAnsi="宋体" w:cs="宋体"/>
          <w:color w:val="auto"/>
          <w:kern w:val="0"/>
          <w:sz w:val="28"/>
          <w:szCs w:val="28"/>
          <w:highlight w:val="none"/>
        </w:rPr>
        <w:sectPr>
          <w:headerReference r:id="rId5" w:type="first"/>
          <w:headerReference r:id="rId3" w:type="default"/>
          <w:footerReference r:id="rId6" w:type="default"/>
          <w:headerReference r:id="rId4" w:type="even"/>
          <w:pgSz w:w="11906" w:h="16838"/>
          <w:pgMar w:top="1440" w:right="1797" w:bottom="1440" w:left="1797" w:header="851" w:footer="992" w:gutter="0"/>
          <w:cols w:space="720" w:num="1"/>
          <w:docGrid w:type="lines" w:linePitch="312" w:charSpace="0"/>
        </w:sectPr>
      </w:pPr>
    </w:p>
    <w:p>
      <w:pPr>
        <w:jc w:val="left"/>
        <w:rPr>
          <w:rFonts w:ascii="宋体" w:hAnsi="宋体" w:cs="宋体"/>
          <w:color w:val="auto"/>
          <w:sz w:val="32"/>
          <w:szCs w:val="32"/>
          <w:highlight w:val="none"/>
        </w:rPr>
      </w:pPr>
      <w:r>
        <w:rPr>
          <w:rFonts w:hint="eastAsia" w:ascii="宋体" w:hAnsi="宋体" w:cs="宋体"/>
          <w:color w:val="auto"/>
          <w:sz w:val="32"/>
          <w:szCs w:val="32"/>
          <w:highlight w:val="none"/>
        </w:rPr>
        <w:t>附件7</w:t>
      </w:r>
    </w:p>
    <w:p>
      <w:pPr>
        <w:jc w:val="center"/>
        <w:rPr>
          <w:rFonts w:ascii="宋体" w:hAnsi="宋体" w:cs="宋体"/>
          <w:color w:val="auto"/>
          <w:sz w:val="32"/>
          <w:szCs w:val="32"/>
          <w:highlight w:val="none"/>
        </w:rPr>
      </w:pPr>
      <w:r>
        <w:rPr>
          <w:rFonts w:hint="eastAsia" w:ascii="宋体" w:hAnsi="宋体" w:cs="宋体"/>
          <w:color w:val="auto"/>
          <w:sz w:val="32"/>
          <w:szCs w:val="32"/>
          <w:highlight w:val="none"/>
        </w:rPr>
        <w:t>分项报价表</w:t>
      </w:r>
    </w:p>
    <w:p>
      <w:pPr>
        <w:rPr>
          <w:rFonts w:ascii="宋体" w:hAnsi="宋体" w:cs="宋体"/>
          <w:color w:val="auto"/>
          <w:sz w:val="32"/>
          <w:szCs w:val="32"/>
          <w:highlight w:val="none"/>
        </w:rPr>
      </w:pPr>
    </w:p>
    <w:tbl>
      <w:tblPr>
        <w:tblStyle w:val="37"/>
        <w:tblW w:w="14674" w:type="dxa"/>
        <w:tblInd w:w="-674" w:type="dxa"/>
        <w:tblLayout w:type="fixed"/>
        <w:tblCellMar>
          <w:top w:w="0" w:type="dxa"/>
          <w:left w:w="108" w:type="dxa"/>
          <w:bottom w:w="0" w:type="dxa"/>
          <w:right w:w="108" w:type="dxa"/>
        </w:tblCellMar>
      </w:tblPr>
      <w:tblGrid>
        <w:gridCol w:w="611"/>
        <w:gridCol w:w="586"/>
        <w:gridCol w:w="1128"/>
        <w:gridCol w:w="916"/>
        <w:gridCol w:w="664"/>
        <w:gridCol w:w="1357"/>
        <w:gridCol w:w="2041"/>
        <w:gridCol w:w="1701"/>
        <w:gridCol w:w="2410"/>
        <w:gridCol w:w="1134"/>
        <w:gridCol w:w="2126"/>
      </w:tblGrid>
      <w:tr>
        <w:tblPrEx>
          <w:tblCellMar>
            <w:top w:w="0" w:type="dxa"/>
            <w:left w:w="108" w:type="dxa"/>
            <w:bottom w:w="0" w:type="dxa"/>
            <w:right w:w="108" w:type="dxa"/>
          </w:tblCellMar>
        </w:tblPrEx>
        <w:trPr>
          <w:trHeight w:val="666" w:hRule="atLeast"/>
        </w:trPr>
        <w:tc>
          <w:tcPr>
            <w:tcW w:w="6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序号</w:t>
            </w:r>
          </w:p>
        </w:tc>
        <w:tc>
          <w:tcPr>
            <w:tcW w:w="586" w:type="dxa"/>
            <w:tcBorders>
              <w:top w:val="single" w:color="auto" w:sz="4" w:space="0"/>
              <w:left w:val="nil"/>
              <w:bottom w:val="single" w:color="auto" w:sz="4" w:space="0"/>
              <w:right w:val="single" w:color="auto" w:sz="4" w:space="0"/>
            </w:tcBorders>
            <w:noWrap/>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楼号</w:t>
            </w:r>
          </w:p>
        </w:tc>
        <w:tc>
          <w:tcPr>
            <w:tcW w:w="1128" w:type="dxa"/>
            <w:tcBorders>
              <w:top w:val="single" w:color="auto" w:sz="4" w:space="0"/>
              <w:left w:val="nil"/>
              <w:bottom w:val="single" w:color="auto" w:sz="4" w:space="0"/>
              <w:right w:val="single" w:color="auto" w:sz="4" w:space="0"/>
            </w:tcBorders>
            <w:noWrap/>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梯号</w:t>
            </w:r>
          </w:p>
        </w:tc>
        <w:tc>
          <w:tcPr>
            <w:tcW w:w="916" w:type="dxa"/>
            <w:tcBorders>
              <w:top w:val="single" w:color="auto" w:sz="4" w:space="0"/>
              <w:left w:val="nil"/>
              <w:bottom w:val="single" w:color="auto" w:sz="4" w:space="0"/>
              <w:right w:val="single" w:color="auto" w:sz="4" w:space="0"/>
            </w:tcBorders>
            <w:noWrap/>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品牌</w:t>
            </w:r>
          </w:p>
        </w:tc>
        <w:tc>
          <w:tcPr>
            <w:tcW w:w="664" w:type="dxa"/>
            <w:tcBorders>
              <w:top w:val="single" w:color="auto" w:sz="4" w:space="0"/>
              <w:left w:val="nil"/>
              <w:bottom w:val="single" w:color="auto" w:sz="4" w:space="0"/>
              <w:right w:val="single" w:color="auto" w:sz="4" w:space="0"/>
            </w:tcBorders>
            <w:noWrap/>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数量</w:t>
            </w:r>
          </w:p>
        </w:tc>
        <w:tc>
          <w:tcPr>
            <w:tcW w:w="1357" w:type="dxa"/>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扶梯拆梯费</w:t>
            </w:r>
          </w:p>
        </w:tc>
        <w:tc>
          <w:tcPr>
            <w:tcW w:w="2041" w:type="dxa"/>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底坑土建整改费用</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电扶梯设备价</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扶梯安装及调试费用</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单台小计</w:t>
            </w: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扶梯功能配置</w:t>
            </w:r>
          </w:p>
        </w:tc>
      </w:tr>
      <w:tr>
        <w:tblPrEx>
          <w:tblCellMar>
            <w:top w:w="0" w:type="dxa"/>
            <w:left w:w="108" w:type="dxa"/>
            <w:bottom w:w="0" w:type="dxa"/>
            <w:right w:w="108" w:type="dxa"/>
          </w:tblCellMar>
        </w:tblPrEx>
        <w:trPr>
          <w:trHeight w:val="1384" w:hRule="atLeast"/>
        </w:trPr>
        <w:tc>
          <w:tcPr>
            <w:tcW w:w="61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1</w:t>
            </w:r>
          </w:p>
        </w:tc>
        <w:tc>
          <w:tcPr>
            <w:tcW w:w="586" w:type="dxa"/>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A</w:t>
            </w:r>
          </w:p>
        </w:tc>
        <w:tc>
          <w:tcPr>
            <w:tcW w:w="1128"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auto"/>
                <w:kern w:val="0"/>
                <w:sz w:val="22"/>
                <w:highlight w:val="none"/>
              </w:rPr>
            </w:pPr>
            <w:r>
              <w:rPr>
                <w:rFonts w:ascii="等线" w:hAnsi="等线" w:eastAsia="等线" w:cs="宋体"/>
                <w:color w:val="auto"/>
                <w:kern w:val="0"/>
                <w:sz w:val="22"/>
                <w:highlight w:val="none"/>
              </w:rPr>
              <w:t>F</w:t>
            </w:r>
            <w:r>
              <w:rPr>
                <w:rFonts w:hint="eastAsia" w:ascii="等线" w:hAnsi="等线" w:eastAsia="等线" w:cs="宋体"/>
                <w:color w:val="auto"/>
                <w:kern w:val="0"/>
                <w:sz w:val="22"/>
                <w:highlight w:val="none"/>
              </w:rPr>
              <w:t>T1</w:t>
            </w:r>
          </w:p>
        </w:tc>
        <w:tc>
          <w:tcPr>
            <w:tcW w:w="916" w:type="dxa"/>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等线" w:hAnsi="等线" w:eastAsia="等线" w:cs="宋体"/>
                <w:color w:val="auto"/>
                <w:kern w:val="0"/>
                <w:sz w:val="22"/>
                <w:highlight w:val="none"/>
              </w:rPr>
            </w:pPr>
          </w:p>
        </w:tc>
        <w:tc>
          <w:tcPr>
            <w:tcW w:w="664"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1</w:t>
            </w:r>
          </w:p>
        </w:tc>
        <w:tc>
          <w:tcPr>
            <w:tcW w:w="1357"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auto"/>
                <w:kern w:val="0"/>
                <w:sz w:val="22"/>
                <w:highlight w:val="none"/>
              </w:rPr>
            </w:pPr>
            <w:r>
              <w:rPr>
                <w:rFonts w:ascii="等线" w:hAnsi="等线" w:eastAsia="等线" w:cs="宋体"/>
                <w:color w:val="auto"/>
                <w:kern w:val="0"/>
                <w:sz w:val="22"/>
                <w:highlight w:val="none"/>
              </w:rPr>
              <w:t>100</w:t>
            </w:r>
          </w:p>
          <w:p>
            <w:pPr>
              <w:widowControl/>
              <w:jc w:val="center"/>
              <w:rPr>
                <w:rFonts w:ascii="等线" w:hAnsi="等线" w:eastAsia="等线" w:cs="宋体"/>
                <w:color w:val="auto"/>
                <w:kern w:val="0"/>
                <w:sz w:val="22"/>
                <w:highlight w:val="none"/>
              </w:rPr>
            </w:pPr>
            <w:r>
              <w:rPr>
                <w:rFonts w:hint="eastAsia" w:ascii="等线" w:hAnsi="等线" w:eastAsia="等线" w:cs="宋体"/>
                <w:color w:val="auto"/>
                <w:kern w:val="0"/>
                <w:sz w:val="22"/>
                <w:highlight w:val="none"/>
              </w:rPr>
              <w:t>（示例）</w:t>
            </w:r>
          </w:p>
        </w:tc>
        <w:tc>
          <w:tcPr>
            <w:tcW w:w="204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auto"/>
                <w:kern w:val="0"/>
                <w:sz w:val="22"/>
                <w:highlight w:val="none"/>
              </w:rPr>
            </w:pPr>
          </w:p>
        </w:tc>
        <w:tc>
          <w:tcPr>
            <w:tcW w:w="1701"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auto"/>
                <w:kern w:val="0"/>
                <w:sz w:val="22"/>
                <w:highlight w:val="none"/>
              </w:rPr>
            </w:pPr>
          </w:p>
        </w:tc>
        <w:tc>
          <w:tcPr>
            <w:tcW w:w="2410"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auto"/>
                <w:kern w:val="0"/>
                <w:sz w:val="22"/>
                <w:highlight w:val="none"/>
              </w:rPr>
            </w:pP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等线" w:hAnsi="等线" w:eastAsia="等线" w:cs="宋体"/>
                <w:color w:val="auto"/>
                <w:kern w:val="0"/>
                <w:sz w:val="22"/>
                <w:highlight w:val="none"/>
              </w:rPr>
            </w:pPr>
          </w:p>
        </w:tc>
        <w:tc>
          <w:tcPr>
            <w:tcW w:w="2126" w:type="dxa"/>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等线" w:hAnsi="等线" w:eastAsia="等线" w:cs="宋体"/>
                <w:color w:val="auto"/>
                <w:kern w:val="0"/>
                <w:sz w:val="22"/>
                <w:highlight w:val="none"/>
              </w:rPr>
            </w:pPr>
          </w:p>
        </w:tc>
      </w:tr>
    </w:tbl>
    <w:p>
      <w:pPr>
        <w:widowControl/>
        <w:adjustRightInd w:val="0"/>
        <w:spacing w:line="480" w:lineRule="auto"/>
        <w:jc w:val="center"/>
        <w:rPr>
          <w:rFonts w:ascii="宋体" w:hAnsi="宋体" w:cs="宋体"/>
          <w:color w:val="auto"/>
          <w:kern w:val="0"/>
          <w:sz w:val="20"/>
          <w:szCs w:val="21"/>
          <w:highlight w:val="none"/>
          <w:lang w:val="zh-CN"/>
        </w:rPr>
      </w:pPr>
    </w:p>
    <w:p>
      <w:pPr>
        <w:widowControl/>
        <w:adjustRightInd w:val="0"/>
        <w:spacing w:line="480" w:lineRule="auto"/>
        <w:rPr>
          <w:rFonts w:ascii="宋体" w:hAnsi="宋体" w:cs="宋体"/>
          <w:color w:val="auto"/>
          <w:kern w:val="0"/>
          <w:sz w:val="28"/>
          <w:szCs w:val="28"/>
          <w:highlight w:val="none"/>
          <w:lang w:val="zh-CN"/>
        </w:rPr>
      </w:pPr>
      <w:r>
        <w:rPr>
          <w:rFonts w:hint="eastAsia" w:ascii="宋体" w:hAnsi="宋体" w:cs="宋体"/>
          <w:color w:val="auto"/>
          <w:kern w:val="0"/>
          <w:sz w:val="28"/>
          <w:szCs w:val="28"/>
          <w:highlight w:val="none"/>
          <w:lang w:val="zh-CN"/>
        </w:rPr>
        <w:t>投标人名称：</w:t>
      </w:r>
      <w:r>
        <w:rPr>
          <w:rFonts w:hint="eastAsia" w:ascii="宋体" w:hAnsi="宋体" w:cs="宋体"/>
          <w:color w:val="auto"/>
          <w:kern w:val="0"/>
          <w:sz w:val="28"/>
          <w:szCs w:val="28"/>
          <w:highlight w:val="none"/>
          <w:u w:val="single"/>
          <w:lang w:val="zh-CN"/>
        </w:rPr>
        <w:t xml:space="preserve">                                     </w:t>
      </w:r>
      <w:r>
        <w:rPr>
          <w:rFonts w:hint="eastAsia" w:ascii="宋体" w:hAnsi="宋体" w:cs="宋体"/>
          <w:color w:val="auto"/>
          <w:kern w:val="0"/>
          <w:sz w:val="28"/>
          <w:szCs w:val="28"/>
          <w:highlight w:val="none"/>
          <w:lang w:val="zh-CN"/>
        </w:rPr>
        <w:t>（盖章）</w:t>
      </w:r>
    </w:p>
    <w:p>
      <w:pPr>
        <w:pStyle w:val="71"/>
        <w:rPr>
          <w:rFonts w:ascii="宋体" w:hAnsi="宋体" w:cs="宋体"/>
          <w:color w:val="auto"/>
          <w:kern w:val="0"/>
          <w:sz w:val="28"/>
          <w:szCs w:val="28"/>
          <w:highlight w:val="none"/>
          <w:lang w:val="zh-CN"/>
        </w:rPr>
      </w:pPr>
      <w:r>
        <w:rPr>
          <w:rFonts w:hint="eastAsia" w:ascii="宋体" w:hAnsi="宋体" w:cs="宋体"/>
          <w:color w:val="auto"/>
          <w:kern w:val="0"/>
          <w:sz w:val="28"/>
          <w:szCs w:val="28"/>
          <w:highlight w:val="none"/>
          <w:lang w:val="zh-CN"/>
        </w:rPr>
        <w:t>法定代表人（单位负责人）或其委托代理人：（签字或盖章）</w:t>
      </w:r>
    </w:p>
    <w:p>
      <w:pPr>
        <w:rPr>
          <w:color w:val="auto"/>
          <w:highlight w:val="none"/>
        </w:rPr>
        <w:sectPr>
          <w:pgSz w:w="16838" w:h="11906" w:orient="landscape"/>
          <w:pgMar w:top="1797" w:right="1440" w:bottom="1797" w:left="1440" w:header="851" w:footer="992" w:gutter="0"/>
          <w:cols w:space="720" w:num="1"/>
          <w:docGrid w:type="lines" w:linePitch="319" w:charSpace="0"/>
        </w:sectPr>
      </w:pPr>
    </w:p>
    <w:p>
      <w:pPr>
        <w:adjustRightInd w:val="0"/>
        <w:spacing w:line="460" w:lineRule="exact"/>
        <w:rPr>
          <w:rFonts w:ascii="宋体" w:hAnsi="宋体" w:cs="宋体"/>
          <w:color w:val="auto"/>
          <w:kern w:val="0"/>
          <w:sz w:val="24"/>
          <w:highlight w:val="none"/>
        </w:rPr>
      </w:pPr>
      <w:r>
        <w:rPr>
          <w:rFonts w:hint="eastAsia" w:ascii="宋体" w:hAnsi="宋体" w:cs="宋体"/>
          <w:b/>
          <w:color w:val="auto"/>
          <w:kern w:val="0"/>
          <w:sz w:val="22"/>
          <w:highlight w:val="none"/>
          <w:lang w:val="zh-CN"/>
        </w:rPr>
        <w:t>说明：</w:t>
      </w:r>
      <w:r>
        <w:rPr>
          <w:rFonts w:hint="eastAsia" w:ascii="宋体" w:hAnsi="宋体" w:cs="宋体"/>
          <w:color w:val="auto"/>
          <w:kern w:val="0"/>
          <w:sz w:val="24"/>
          <w:highlight w:val="none"/>
        </w:rPr>
        <w:t>1、扶梯参数详见第三部分</w:t>
      </w:r>
      <w:r>
        <w:rPr>
          <w:rFonts w:ascii="宋体" w:hAnsi="宋体" w:cs="宋体"/>
          <w:color w:val="auto"/>
          <w:kern w:val="0"/>
          <w:sz w:val="24"/>
          <w:highlight w:val="none"/>
        </w:rPr>
        <w:t>内容</w:t>
      </w:r>
      <w:r>
        <w:rPr>
          <w:rFonts w:hint="eastAsia" w:ascii="宋体" w:hAnsi="宋体" w:cs="宋体"/>
          <w:color w:val="auto"/>
          <w:kern w:val="0"/>
          <w:sz w:val="24"/>
          <w:highlight w:val="none"/>
        </w:rPr>
        <w:t>。</w:t>
      </w:r>
    </w:p>
    <w:p>
      <w:pPr>
        <w:adjustRightInd w:val="0"/>
        <w:spacing w:line="460" w:lineRule="exact"/>
        <w:rPr>
          <w:rFonts w:ascii="宋体" w:hAnsi="宋体" w:cs="宋体"/>
          <w:color w:val="auto"/>
          <w:kern w:val="0"/>
          <w:sz w:val="24"/>
          <w:highlight w:val="none"/>
        </w:rPr>
      </w:pPr>
      <w:r>
        <w:rPr>
          <w:rFonts w:ascii="宋体" w:hAnsi="宋体" w:cs="宋体"/>
          <w:color w:val="auto"/>
          <w:kern w:val="0"/>
          <w:sz w:val="24"/>
          <w:highlight w:val="none"/>
        </w:rPr>
        <w:t xml:space="preserve">      2</w:t>
      </w:r>
      <w:r>
        <w:rPr>
          <w:rFonts w:hint="eastAsia" w:ascii="宋体" w:hAnsi="宋体" w:cs="宋体"/>
          <w:color w:val="auto"/>
          <w:kern w:val="0"/>
          <w:sz w:val="24"/>
          <w:highlight w:val="none"/>
        </w:rPr>
        <w:t>、</w:t>
      </w:r>
      <w:r>
        <w:rPr>
          <w:rFonts w:ascii="宋体" w:hAnsi="宋体" w:cs="宋体"/>
          <w:color w:val="auto"/>
          <w:kern w:val="0"/>
          <w:sz w:val="24"/>
          <w:highlight w:val="none"/>
        </w:rPr>
        <w:t>扶梯拆梯费用：处置权归</w:t>
      </w:r>
      <w:r>
        <w:rPr>
          <w:rFonts w:hint="eastAsia" w:ascii="宋体" w:hAnsi="宋体" w:cs="宋体"/>
          <w:color w:val="auto"/>
          <w:kern w:val="0"/>
          <w:sz w:val="24"/>
          <w:highlight w:val="none"/>
        </w:rPr>
        <w:t>中标人</w:t>
      </w:r>
      <w:r>
        <w:rPr>
          <w:rFonts w:ascii="宋体" w:hAnsi="宋体" w:cs="宋体"/>
          <w:color w:val="auto"/>
          <w:kern w:val="0"/>
          <w:sz w:val="24"/>
          <w:highlight w:val="none"/>
        </w:rPr>
        <w:t>所有。</w:t>
      </w:r>
    </w:p>
    <w:p>
      <w:pPr>
        <w:adjustRightInd w:val="0"/>
        <w:spacing w:line="46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ascii="宋体" w:hAnsi="宋体" w:cs="宋体"/>
          <w:color w:val="auto"/>
          <w:kern w:val="0"/>
          <w:sz w:val="24"/>
          <w:highlight w:val="none"/>
        </w:rPr>
        <w:t xml:space="preserve">     3</w:t>
      </w:r>
      <w:r>
        <w:rPr>
          <w:rFonts w:hint="eastAsia" w:ascii="宋体" w:hAnsi="宋体" w:cs="宋体"/>
          <w:color w:val="auto"/>
          <w:kern w:val="0"/>
          <w:sz w:val="24"/>
          <w:highlight w:val="none"/>
        </w:rPr>
        <w:t>、扶梯底坑土建整改，费用由中标人承担。</w:t>
      </w:r>
    </w:p>
    <w:p>
      <w:pPr>
        <w:adjustRightInd w:val="0"/>
        <w:spacing w:line="460" w:lineRule="exact"/>
        <w:ind w:firstLine="720" w:firstLineChars="300"/>
        <w:rPr>
          <w:rFonts w:ascii="宋体" w:hAnsi="宋体" w:cs="宋体"/>
          <w:color w:val="auto"/>
          <w:kern w:val="0"/>
          <w:sz w:val="24"/>
          <w:highlight w:val="none"/>
        </w:rPr>
      </w:pPr>
      <w:r>
        <w:rPr>
          <w:rFonts w:hint="eastAsia" w:ascii="宋体" w:hAnsi="宋体" w:cs="宋体"/>
          <w:color w:val="auto"/>
          <w:kern w:val="0"/>
          <w:sz w:val="24"/>
          <w:highlight w:val="none"/>
        </w:rPr>
        <w:t>5、扶梯安装费用中含工厂调试、厂检费用、扶梯安装及监检费用、质保期内年检费用等。</w:t>
      </w:r>
    </w:p>
    <w:p>
      <w:pPr>
        <w:adjustRightInd w:val="0"/>
        <w:spacing w:line="460" w:lineRule="exact"/>
        <w:ind w:firstLine="723" w:firstLineChars="300"/>
        <w:rPr>
          <w:rFonts w:ascii="宋体" w:hAnsi="宋体" w:cs="宋体"/>
          <w:b/>
          <w:color w:val="auto"/>
          <w:kern w:val="0"/>
          <w:sz w:val="24"/>
          <w:highlight w:val="none"/>
        </w:rPr>
      </w:pPr>
      <w:r>
        <w:rPr>
          <w:rFonts w:hint="eastAsia" w:ascii="宋体" w:hAnsi="宋体" w:cs="宋体"/>
          <w:b/>
          <w:color w:val="auto"/>
          <w:kern w:val="0"/>
          <w:sz w:val="24"/>
          <w:highlight w:val="none"/>
        </w:rPr>
        <w:t>6、投标人报价中需考虑含扶梯设备的</w:t>
      </w:r>
      <w:r>
        <w:rPr>
          <w:rFonts w:hint="eastAsia" w:ascii="宋体" w:hAnsi="宋体" w:cs="宋体"/>
          <w:b/>
          <w:color w:val="auto"/>
          <w:kern w:val="0"/>
          <w:sz w:val="24"/>
          <w:highlight w:val="none"/>
          <w:lang w:val="en-US" w:eastAsia="zh-CN"/>
        </w:rPr>
        <w:t>三</w:t>
      </w:r>
      <w:r>
        <w:rPr>
          <w:rFonts w:hint="eastAsia" w:ascii="宋体" w:hAnsi="宋体" w:cs="宋体"/>
          <w:b/>
          <w:color w:val="auto"/>
          <w:kern w:val="0"/>
          <w:sz w:val="24"/>
          <w:highlight w:val="none"/>
        </w:rPr>
        <w:t>年</w:t>
      </w:r>
      <w:r>
        <w:rPr>
          <w:rFonts w:hint="eastAsia" w:ascii="宋体" w:hAnsi="宋体" w:cs="宋体"/>
          <w:b/>
          <w:color w:val="auto"/>
          <w:kern w:val="0"/>
          <w:sz w:val="24"/>
          <w:highlight w:val="none"/>
          <w:lang w:eastAsia="zh-CN"/>
        </w:rPr>
        <w:t>（具体按投标</w:t>
      </w:r>
      <w:r>
        <w:rPr>
          <w:rFonts w:hint="eastAsia" w:ascii="宋体" w:hAnsi="宋体" w:cs="宋体"/>
          <w:b/>
          <w:color w:val="auto"/>
          <w:kern w:val="0"/>
          <w:sz w:val="24"/>
          <w:highlight w:val="none"/>
          <w:lang w:eastAsia="zh-CN"/>
        </w:rPr>
        <w:t>质保期）</w:t>
      </w:r>
      <w:r>
        <w:rPr>
          <w:rFonts w:hint="eastAsia" w:ascii="宋体" w:hAnsi="宋体" w:cs="宋体"/>
          <w:b/>
          <w:color w:val="auto"/>
          <w:kern w:val="0"/>
          <w:sz w:val="24"/>
          <w:highlight w:val="none"/>
        </w:rPr>
        <w:t>质保且还</w:t>
      </w:r>
      <w:r>
        <w:rPr>
          <w:rFonts w:hint="eastAsia" w:ascii="宋体" w:hAnsi="宋体" w:cs="宋体"/>
          <w:b/>
          <w:color w:val="auto"/>
          <w:kern w:val="0"/>
          <w:sz w:val="24"/>
          <w:highlight w:val="none"/>
        </w:rPr>
        <w:t>需含质保期内的扶梯</w:t>
      </w:r>
      <w:r>
        <w:rPr>
          <w:rFonts w:hint="eastAsia" w:ascii="宋体" w:hAnsi="宋体" w:cs="宋体"/>
          <w:b/>
          <w:color w:val="auto"/>
          <w:kern w:val="0"/>
          <w:sz w:val="24"/>
          <w:highlight w:val="none"/>
          <w:lang w:val="en-US" w:eastAsia="zh-CN"/>
        </w:rPr>
        <w:t>维护</w:t>
      </w:r>
      <w:r>
        <w:rPr>
          <w:rFonts w:hint="eastAsia" w:ascii="宋体" w:hAnsi="宋体" w:cs="宋体"/>
          <w:b/>
          <w:color w:val="auto"/>
          <w:kern w:val="0"/>
          <w:sz w:val="24"/>
          <w:highlight w:val="none"/>
        </w:rPr>
        <w:t>保养费用并为招标人提供相应服务。</w:t>
      </w:r>
    </w:p>
    <w:p>
      <w:pPr>
        <w:adjustRightInd w:val="0"/>
        <w:spacing w:line="460" w:lineRule="exact"/>
        <w:ind w:firstLine="720" w:firstLineChars="300"/>
        <w:rPr>
          <w:rFonts w:ascii="宋体" w:hAnsi="宋体" w:cs="宋体"/>
          <w:color w:val="auto"/>
          <w:kern w:val="0"/>
          <w:sz w:val="24"/>
          <w:highlight w:val="none"/>
        </w:rPr>
      </w:pPr>
      <w:r>
        <w:rPr>
          <w:rFonts w:ascii="宋体" w:hAnsi="宋体" w:cs="宋体"/>
          <w:color w:val="auto"/>
          <w:kern w:val="0"/>
          <w:sz w:val="24"/>
          <w:highlight w:val="none"/>
        </w:rPr>
        <w:t>7</w:t>
      </w:r>
      <w:r>
        <w:rPr>
          <w:rFonts w:hint="eastAsia" w:ascii="宋体" w:hAnsi="宋体" w:cs="宋体"/>
          <w:color w:val="auto"/>
          <w:kern w:val="0"/>
          <w:sz w:val="24"/>
          <w:highlight w:val="none"/>
        </w:rPr>
        <w:t>、除合同另有规定外，此分项报价表已包含了本次招标项目的所有工作，以及为完成各分项工程所有明示或隐含的工作内容，投标人均应考虑在其所填报的综合单价；投标报价包括但不限于全部设备费、</w:t>
      </w:r>
      <w:r>
        <w:rPr>
          <w:rFonts w:hint="eastAsia" w:ascii="宋体" w:hAnsi="宋体" w:cs="宋体"/>
          <w:color w:val="auto"/>
          <w:kern w:val="0"/>
          <w:sz w:val="24"/>
          <w:highlight w:val="none"/>
          <w:lang w:val="en-US" w:eastAsia="zh-CN"/>
        </w:rPr>
        <w:t>质保和维护费、</w:t>
      </w:r>
      <w:r>
        <w:rPr>
          <w:rFonts w:hint="eastAsia" w:ascii="宋体" w:hAnsi="宋体" w:cs="宋体"/>
          <w:color w:val="auto"/>
          <w:kern w:val="0"/>
          <w:sz w:val="24"/>
          <w:highlight w:val="none"/>
        </w:rPr>
        <w:t>辅材费、设计费、包装费、运杂费</w:t>
      </w:r>
      <w:r>
        <w:rPr>
          <w:rFonts w:ascii="宋体" w:hAnsi="宋体" w:cs="宋体"/>
          <w:color w:val="auto"/>
          <w:kern w:val="0"/>
          <w:sz w:val="24"/>
          <w:highlight w:val="none"/>
        </w:rPr>
        <w:t>(运抵买方项目现场及保管费、保险费)、下力费或卸货费(含二次搬运费)、场内运输费、保险费、现场安装所需的水电费、照明费用、垃圾清运费、安装费(包括设备接地)、调试费、人员驻场费、培训费、资料费、规费、税金、质量监督部门监检、验收和发放使用许可证(领取准用证)的相关费用及为完成项目投标人认为需要的其他费用等。在安装、调试、验收过程中，如发现有漏项、缺件，应无条件、无偿补齐，所发生的一切费用，视为已包含在投标报价中，且并不因此而影响交付招标人使用的时</w:t>
      </w:r>
      <w:r>
        <w:rPr>
          <w:rFonts w:hint="eastAsia" w:ascii="宋体" w:hAnsi="宋体" w:cs="宋体"/>
          <w:color w:val="auto"/>
          <w:kern w:val="0"/>
          <w:sz w:val="24"/>
          <w:highlight w:val="none"/>
        </w:rPr>
        <w:t>间。</w:t>
      </w:r>
    </w:p>
    <w:p>
      <w:pPr>
        <w:adjustRightInd w:val="0"/>
        <w:spacing w:line="460" w:lineRule="exact"/>
        <w:ind w:firstLine="632" w:firstLineChars="300"/>
        <w:rPr>
          <w:rFonts w:ascii="宋体" w:hAnsi="宋体" w:cs="宋体"/>
          <w:b/>
          <w:color w:val="auto"/>
          <w:kern w:val="0"/>
          <w:szCs w:val="21"/>
          <w:highlight w:val="none"/>
        </w:rPr>
        <w:sectPr>
          <w:pgSz w:w="11907" w:h="16840"/>
          <w:pgMar w:top="1440" w:right="1644" w:bottom="1276" w:left="1797" w:header="851" w:footer="992" w:gutter="0"/>
          <w:cols w:space="720" w:num="1"/>
          <w:titlePg/>
          <w:docGrid w:linePitch="408" w:charSpace="0"/>
        </w:sectPr>
      </w:pPr>
    </w:p>
    <w:p>
      <w:pPr>
        <w:jc w:val="left"/>
        <w:rPr>
          <w:rFonts w:ascii="宋体" w:hAnsi="宋体" w:cs="宋体"/>
          <w:bCs/>
          <w:color w:val="auto"/>
          <w:sz w:val="32"/>
          <w:szCs w:val="32"/>
          <w:highlight w:val="none"/>
          <w:lang w:bidi="ar"/>
        </w:rPr>
      </w:pPr>
      <w:r>
        <w:rPr>
          <w:rFonts w:hint="eastAsia" w:ascii="宋体" w:hAnsi="宋体" w:cs="宋体"/>
          <w:bCs/>
          <w:color w:val="auto"/>
          <w:sz w:val="32"/>
          <w:szCs w:val="32"/>
          <w:highlight w:val="none"/>
          <w:lang w:bidi="ar"/>
        </w:rPr>
        <w:t>附件8</w:t>
      </w:r>
    </w:p>
    <w:p>
      <w:pPr>
        <w:spacing w:before="240" w:line="312" w:lineRule="auto"/>
        <w:jc w:val="center"/>
        <w:rPr>
          <w:rFonts w:ascii="宋体" w:hAnsi="宋体" w:cs="宋体"/>
          <w:b/>
          <w:color w:val="auto"/>
          <w:sz w:val="32"/>
          <w:szCs w:val="32"/>
          <w:highlight w:val="none"/>
          <w:lang w:bidi="ar"/>
        </w:rPr>
      </w:pPr>
      <w:r>
        <w:rPr>
          <w:rFonts w:hint="eastAsia" w:ascii="宋体" w:hAnsi="宋体" w:cs="宋体"/>
          <w:b/>
          <w:color w:val="auto"/>
          <w:sz w:val="32"/>
          <w:szCs w:val="32"/>
          <w:highlight w:val="none"/>
          <w:lang w:bidi="ar"/>
        </w:rPr>
        <w:t>供应商信用承诺书</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bidi="ar"/>
        </w:rPr>
        <w:t>为营造公开、公平、公正的公共资源交易环境，树立诚信守法的投标人形象，本人代表本单位作出以下承诺：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bidi="ar"/>
        </w:rPr>
        <w:t>一、本单位对所提交的单位基本信息、单位负责人、项目负责人、技术负责人、从业资质和资格、业绩、财务状况、信誉等所有资料，均合法、真实、准确、有效，无任何伪造、修改、虚假成分；</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bidi="ar"/>
        </w:rPr>
        <w:t>二、严格依照国家和省、市、县关于政府采购等方面的法律、法规、规章、规范性文件，参加公共资源交易招标投标活动；积极履行社会责任，促进廉政建设；</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bidi="ar"/>
        </w:rPr>
        <w:t>三、严格遵守即时信息公示规定，及时更新公共资源交易中心主体信息库中信息；</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bidi="ar"/>
        </w:rPr>
        <w:t>四、自我约束、自我管理，守合同、重信用，不参与围标串标、弄虚作假、骗取中标、干扰评标、违约毁约、恶意投诉等行为，主动维护公共资源交易招标投标的良好秩序；</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bidi="ar"/>
        </w:rPr>
        <w:t>五、本单位自愿接受政府采购有关行政监督部门的依法检查。如发生违法违规或不良行为或存在其他法律法规对招标投标行为予以限制的情形，自愿接受政府采购有关行政监督部门依法给予的行政处罚（处理），并依法承担相应的法律责任；</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bidi="ar"/>
        </w:rPr>
        <w:t>六、自觉接受政府部门、行业组织、社会公众、新闻舆论等监督；</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bidi="ar"/>
        </w:rPr>
        <w:t>七、上述承诺已向本单位员工作了宣传教育；</w:t>
      </w:r>
    </w:p>
    <w:p>
      <w:pPr>
        <w:tabs>
          <w:tab w:val="left" w:pos="4860"/>
        </w:tabs>
        <w:spacing w:line="588" w:lineRule="exact"/>
        <w:ind w:right="1560"/>
        <w:jc w:val="left"/>
        <w:rPr>
          <w:rFonts w:ascii="宋体" w:hAnsi="宋体" w:cs="宋体"/>
          <w:b/>
          <w:color w:val="auto"/>
          <w:kern w:val="0"/>
          <w:sz w:val="24"/>
          <w:highlight w:val="none"/>
          <w:lang w:val="zh-CN" w:bidi="ar"/>
        </w:rPr>
      </w:pPr>
      <w:r>
        <w:rPr>
          <w:rFonts w:hint="eastAsia" w:ascii="宋体" w:hAnsi="宋体" w:cs="宋体"/>
          <w:b/>
          <w:color w:val="auto"/>
          <w:kern w:val="0"/>
          <w:sz w:val="24"/>
          <w:highlight w:val="none"/>
          <w:lang w:val="zh-CN" w:bidi="ar"/>
        </w:rPr>
        <w:t>如有违反上述承诺的不良行为，本单位同意将其予以上网公示。</w:t>
      </w:r>
    </w:p>
    <w:p>
      <w:pPr>
        <w:spacing w:line="360" w:lineRule="auto"/>
        <w:ind w:firstLine="3080" w:firstLineChars="1100"/>
        <w:rPr>
          <w:rFonts w:ascii="宋体" w:hAnsi="宋体" w:cs="宋体"/>
          <w:color w:val="auto"/>
          <w:sz w:val="28"/>
          <w:szCs w:val="28"/>
          <w:highlight w:val="none"/>
        </w:rPr>
      </w:pPr>
      <w:r>
        <w:rPr>
          <w:rFonts w:hint="eastAsia" w:ascii="宋体" w:hAnsi="宋体" w:cs="宋体"/>
          <w:color w:val="auto"/>
          <w:sz w:val="28"/>
          <w:szCs w:val="28"/>
          <w:highlight w:val="none"/>
        </w:rPr>
        <w:t xml:space="preserve">  </w:t>
      </w:r>
    </w:p>
    <w:p>
      <w:pPr>
        <w:spacing w:line="360" w:lineRule="auto"/>
        <w:ind w:firstLine="3080" w:firstLineChars="1100"/>
        <w:jc w:val="center"/>
        <w:rPr>
          <w:rFonts w:ascii="宋体" w:hAnsi="宋体" w:cs="宋体"/>
          <w:color w:val="auto"/>
          <w:kern w:val="0"/>
          <w:sz w:val="28"/>
          <w:szCs w:val="28"/>
          <w:highlight w:val="none"/>
          <w:u w:val="single"/>
          <w:lang w:val="zh-CN"/>
        </w:rPr>
      </w:pPr>
      <w:r>
        <w:rPr>
          <w:rFonts w:hint="eastAsia" w:ascii="宋体" w:hAnsi="宋体" w:cs="宋体"/>
          <w:color w:val="auto"/>
          <w:kern w:val="0"/>
          <w:sz w:val="28"/>
          <w:szCs w:val="28"/>
          <w:highlight w:val="none"/>
          <w:lang w:val="zh-CN" w:bidi="ar"/>
        </w:rPr>
        <w:t>投标供应商全称(盖公章)：</w:t>
      </w:r>
    </w:p>
    <w:p>
      <w:pPr>
        <w:spacing w:line="360" w:lineRule="auto"/>
        <w:ind w:firstLine="2240" w:firstLineChars="800"/>
        <w:rPr>
          <w:rFonts w:ascii="宋体" w:hAnsi="宋体" w:cs="宋体"/>
          <w:color w:val="auto"/>
          <w:sz w:val="28"/>
          <w:szCs w:val="28"/>
          <w:highlight w:val="none"/>
          <w:u w:val="single"/>
          <w:lang w:val="zh-CN"/>
        </w:rPr>
      </w:pPr>
      <w:r>
        <w:rPr>
          <w:rFonts w:hint="eastAsia" w:ascii="宋体" w:hAnsi="宋体" w:cs="宋体"/>
          <w:color w:val="auto"/>
          <w:kern w:val="0"/>
          <w:sz w:val="28"/>
          <w:szCs w:val="28"/>
          <w:highlight w:val="none"/>
          <w:lang w:val="zh-CN" w:bidi="ar"/>
        </w:rPr>
        <w:t>法定代表人</w:t>
      </w:r>
      <w:r>
        <w:rPr>
          <w:rFonts w:hint="eastAsia" w:ascii="宋体" w:hAnsi="宋体" w:cs="宋体"/>
          <w:color w:val="auto"/>
          <w:kern w:val="0"/>
          <w:sz w:val="28"/>
          <w:szCs w:val="28"/>
          <w:highlight w:val="none"/>
          <w:lang w:bidi="ar"/>
        </w:rPr>
        <w:t>或授权委托人</w:t>
      </w:r>
      <w:r>
        <w:rPr>
          <w:rFonts w:hint="eastAsia" w:ascii="宋体" w:hAnsi="宋体" w:cs="宋体"/>
          <w:color w:val="auto"/>
          <w:kern w:val="0"/>
          <w:sz w:val="28"/>
          <w:szCs w:val="28"/>
          <w:highlight w:val="none"/>
          <w:lang w:val="zh-CN" w:bidi="ar"/>
        </w:rPr>
        <w:t>（签字或盖章）：</w:t>
      </w:r>
    </w:p>
    <w:p>
      <w:pPr>
        <w:snapToGrid w:val="0"/>
        <w:spacing w:line="300" w:lineRule="auto"/>
        <w:ind w:firstLine="3920" w:firstLineChars="1400"/>
        <w:outlineLvl w:val="0"/>
        <w:rPr>
          <w:rFonts w:ascii="宋体" w:hAnsi="宋体" w:cs="宋体"/>
          <w:color w:val="auto"/>
          <w:sz w:val="32"/>
          <w:szCs w:val="32"/>
          <w:highlight w:val="none"/>
        </w:rPr>
      </w:pPr>
      <w:r>
        <w:rPr>
          <w:rFonts w:hint="eastAsia" w:ascii="宋体" w:hAnsi="宋体" w:cs="宋体"/>
          <w:color w:val="auto"/>
          <w:kern w:val="0"/>
          <w:sz w:val="28"/>
          <w:szCs w:val="28"/>
          <w:highlight w:val="none"/>
          <w:lang w:val="zh-CN" w:bidi="ar"/>
        </w:rPr>
        <w:t>时间：  年  月   日</w:t>
      </w:r>
    </w:p>
    <w:p>
      <w:pPr>
        <w:snapToGrid w:val="0"/>
        <w:spacing w:line="300" w:lineRule="auto"/>
        <w:outlineLvl w:val="0"/>
        <w:rPr>
          <w:rFonts w:ascii="宋体" w:hAnsi="宋体" w:cs="宋体"/>
          <w:color w:val="auto"/>
          <w:sz w:val="32"/>
          <w:szCs w:val="32"/>
          <w:highlight w:val="none"/>
        </w:rPr>
      </w:pPr>
    </w:p>
    <w:p>
      <w:pPr>
        <w:snapToGrid w:val="0"/>
        <w:spacing w:line="300" w:lineRule="auto"/>
        <w:outlineLvl w:val="0"/>
        <w:rPr>
          <w:rFonts w:ascii="宋体" w:hAnsi="宋体" w:cs="宋体"/>
          <w:color w:val="auto"/>
          <w:sz w:val="32"/>
          <w:szCs w:val="32"/>
          <w:highlight w:val="none"/>
        </w:rPr>
      </w:pPr>
      <w:r>
        <w:rPr>
          <w:rFonts w:hint="eastAsia" w:ascii="宋体" w:hAnsi="宋体" w:cs="宋体"/>
          <w:color w:val="auto"/>
          <w:sz w:val="32"/>
          <w:szCs w:val="32"/>
          <w:highlight w:val="none"/>
        </w:rPr>
        <w:t>附件9</w:t>
      </w:r>
    </w:p>
    <w:p>
      <w:pPr>
        <w:jc w:val="center"/>
        <w:rPr>
          <w:rFonts w:ascii="宋体" w:hAnsi="宋体" w:cs="宋体"/>
          <w:bCs/>
          <w:color w:val="auto"/>
          <w:sz w:val="44"/>
          <w:szCs w:val="44"/>
          <w:highlight w:val="none"/>
        </w:rPr>
      </w:pPr>
      <w:r>
        <w:rPr>
          <w:rFonts w:hint="eastAsia" w:ascii="宋体" w:hAnsi="宋体" w:cs="宋体"/>
          <w:bCs/>
          <w:color w:val="auto"/>
          <w:sz w:val="44"/>
          <w:szCs w:val="44"/>
          <w:highlight w:val="none"/>
        </w:rPr>
        <w:t>质疑函范本</w:t>
      </w:r>
    </w:p>
    <w:p>
      <w:pPr>
        <w:adjustRightInd w:val="0"/>
        <w:snapToGrid w:val="0"/>
        <w:spacing w:before="312" w:beforeLines="100" w:line="360" w:lineRule="auto"/>
        <w:rPr>
          <w:rFonts w:ascii="宋体" w:hAnsi="宋体" w:cs="宋体"/>
          <w:bCs/>
          <w:color w:val="auto"/>
          <w:sz w:val="32"/>
          <w:szCs w:val="32"/>
          <w:highlight w:val="none"/>
        </w:rPr>
      </w:pPr>
      <w:r>
        <w:rPr>
          <w:rFonts w:hint="eastAsia" w:ascii="宋体" w:hAnsi="宋体" w:cs="宋体"/>
          <w:bCs/>
          <w:color w:val="auto"/>
          <w:sz w:val="32"/>
          <w:szCs w:val="32"/>
          <w:highlight w:val="none"/>
        </w:rPr>
        <w:t>一、质疑供应商基本信息</w:t>
      </w:r>
    </w:p>
    <w:p>
      <w:pPr>
        <w:adjustRightInd w:val="0"/>
        <w:snapToGrid w:val="0"/>
        <w:spacing w:line="360" w:lineRule="auto"/>
        <w:rPr>
          <w:rFonts w:ascii="宋体" w:hAnsi="宋体" w:cs="宋体"/>
          <w:color w:val="auto"/>
          <w:sz w:val="32"/>
          <w:szCs w:val="32"/>
          <w:highlight w:val="none"/>
          <w:u w:val="dotted"/>
        </w:rPr>
      </w:pPr>
      <w:r>
        <w:rPr>
          <w:rFonts w:hint="eastAsia" w:ascii="宋体" w:hAnsi="宋体" w:cs="宋体"/>
          <w:color w:val="auto"/>
          <w:sz w:val="32"/>
          <w:szCs w:val="32"/>
          <w:highlight w:val="none"/>
        </w:rPr>
        <w:t>质疑供应商：</w:t>
      </w:r>
    </w:p>
    <w:p>
      <w:pPr>
        <w:adjustRightInd w:val="0"/>
        <w:snapToGrid w:val="0"/>
        <w:spacing w:line="360" w:lineRule="auto"/>
        <w:rPr>
          <w:rFonts w:ascii="宋体" w:hAnsi="宋体" w:cs="宋体"/>
          <w:color w:val="auto"/>
          <w:sz w:val="32"/>
          <w:szCs w:val="32"/>
          <w:highlight w:val="none"/>
        </w:rPr>
      </w:pPr>
      <w:r>
        <w:rPr>
          <w:rFonts w:hint="eastAsia" w:ascii="宋体" w:hAnsi="宋体" w:cs="宋体"/>
          <w:color w:val="auto"/>
          <w:sz w:val="32"/>
          <w:szCs w:val="32"/>
          <w:highlight w:val="none"/>
        </w:rPr>
        <w:t>地址：邮编：</w:t>
      </w:r>
    </w:p>
    <w:p>
      <w:pPr>
        <w:adjustRightInd w:val="0"/>
        <w:snapToGrid w:val="0"/>
        <w:spacing w:line="360" w:lineRule="auto"/>
        <w:rPr>
          <w:rFonts w:ascii="宋体" w:hAnsi="宋体" w:cs="宋体"/>
          <w:color w:val="auto"/>
          <w:sz w:val="32"/>
          <w:szCs w:val="32"/>
          <w:highlight w:val="none"/>
        </w:rPr>
      </w:pPr>
      <w:r>
        <w:rPr>
          <w:rFonts w:hint="eastAsia" w:ascii="宋体" w:hAnsi="宋体" w:cs="宋体"/>
          <w:color w:val="auto"/>
          <w:sz w:val="32"/>
          <w:szCs w:val="32"/>
          <w:highlight w:val="none"/>
        </w:rPr>
        <w:t>联系人：联系电话：</w:t>
      </w:r>
    </w:p>
    <w:p>
      <w:pPr>
        <w:adjustRightInd w:val="0"/>
        <w:snapToGrid w:val="0"/>
        <w:spacing w:line="360" w:lineRule="auto"/>
        <w:rPr>
          <w:rFonts w:ascii="宋体" w:hAnsi="宋体" w:cs="宋体"/>
          <w:color w:val="auto"/>
          <w:sz w:val="32"/>
          <w:szCs w:val="32"/>
          <w:highlight w:val="none"/>
          <w:u w:val="dotted"/>
        </w:rPr>
      </w:pPr>
      <w:r>
        <w:rPr>
          <w:rFonts w:hint="eastAsia" w:ascii="宋体" w:hAnsi="宋体" w:cs="宋体"/>
          <w:color w:val="auto"/>
          <w:sz w:val="32"/>
          <w:szCs w:val="32"/>
          <w:highlight w:val="none"/>
        </w:rPr>
        <w:t>授权代表：</w:t>
      </w:r>
    </w:p>
    <w:p>
      <w:pPr>
        <w:adjustRightInd w:val="0"/>
        <w:snapToGrid w:val="0"/>
        <w:spacing w:line="360" w:lineRule="auto"/>
        <w:rPr>
          <w:rFonts w:ascii="宋体" w:hAnsi="宋体" w:cs="宋体"/>
          <w:color w:val="auto"/>
          <w:sz w:val="32"/>
          <w:szCs w:val="32"/>
          <w:highlight w:val="none"/>
        </w:rPr>
      </w:pPr>
      <w:r>
        <w:rPr>
          <w:rFonts w:hint="eastAsia" w:ascii="宋体" w:hAnsi="宋体" w:cs="宋体"/>
          <w:color w:val="auto"/>
          <w:sz w:val="32"/>
          <w:szCs w:val="32"/>
          <w:highlight w:val="none"/>
        </w:rPr>
        <w:t>联系电话：</w:t>
      </w:r>
    </w:p>
    <w:p>
      <w:pPr>
        <w:adjustRightInd w:val="0"/>
        <w:snapToGrid w:val="0"/>
        <w:spacing w:line="360" w:lineRule="auto"/>
        <w:rPr>
          <w:rFonts w:ascii="宋体" w:hAnsi="宋体" w:cs="宋体"/>
          <w:color w:val="auto"/>
          <w:sz w:val="32"/>
          <w:szCs w:val="32"/>
          <w:highlight w:val="none"/>
        </w:rPr>
      </w:pPr>
      <w:r>
        <w:rPr>
          <w:rFonts w:hint="eastAsia" w:ascii="宋体" w:hAnsi="宋体" w:cs="宋体"/>
          <w:color w:val="auto"/>
          <w:sz w:val="32"/>
          <w:szCs w:val="32"/>
          <w:highlight w:val="none"/>
        </w:rPr>
        <w:t>地址：邮编：</w:t>
      </w:r>
    </w:p>
    <w:p>
      <w:pPr>
        <w:adjustRightInd w:val="0"/>
        <w:snapToGrid w:val="0"/>
        <w:spacing w:line="360" w:lineRule="auto"/>
        <w:rPr>
          <w:rFonts w:ascii="宋体" w:hAnsi="宋体" w:cs="宋体"/>
          <w:bCs/>
          <w:color w:val="auto"/>
          <w:sz w:val="32"/>
          <w:szCs w:val="32"/>
          <w:highlight w:val="none"/>
        </w:rPr>
      </w:pPr>
      <w:r>
        <w:rPr>
          <w:rFonts w:hint="eastAsia" w:ascii="宋体" w:hAnsi="宋体" w:cs="宋体"/>
          <w:bCs/>
          <w:color w:val="auto"/>
          <w:sz w:val="32"/>
          <w:szCs w:val="32"/>
          <w:highlight w:val="none"/>
        </w:rPr>
        <w:t>二、质疑项目基本情况</w:t>
      </w:r>
    </w:p>
    <w:p>
      <w:pPr>
        <w:adjustRightInd w:val="0"/>
        <w:snapToGrid w:val="0"/>
        <w:spacing w:line="360" w:lineRule="auto"/>
        <w:rPr>
          <w:rFonts w:ascii="宋体" w:hAnsi="宋体" w:cs="宋体"/>
          <w:color w:val="auto"/>
          <w:sz w:val="32"/>
          <w:szCs w:val="32"/>
          <w:highlight w:val="none"/>
        </w:rPr>
      </w:pPr>
      <w:r>
        <w:rPr>
          <w:rFonts w:hint="eastAsia" w:ascii="宋体" w:hAnsi="宋体" w:cs="宋体"/>
          <w:color w:val="auto"/>
          <w:sz w:val="32"/>
          <w:szCs w:val="32"/>
          <w:highlight w:val="none"/>
        </w:rPr>
        <w:t>质疑项目的名称：</w:t>
      </w:r>
    </w:p>
    <w:p>
      <w:pPr>
        <w:adjustRightInd w:val="0"/>
        <w:snapToGrid w:val="0"/>
        <w:spacing w:line="360" w:lineRule="auto"/>
        <w:rPr>
          <w:rFonts w:ascii="宋体" w:hAnsi="宋体" w:cs="宋体"/>
          <w:color w:val="auto"/>
          <w:sz w:val="32"/>
          <w:szCs w:val="32"/>
          <w:highlight w:val="none"/>
        </w:rPr>
      </w:pPr>
      <w:r>
        <w:rPr>
          <w:rFonts w:hint="eastAsia" w:ascii="宋体" w:hAnsi="宋体" w:cs="宋体"/>
          <w:color w:val="auto"/>
          <w:sz w:val="32"/>
          <w:szCs w:val="32"/>
          <w:highlight w:val="none"/>
        </w:rPr>
        <w:t>质疑项目的编号：包号：</w:t>
      </w:r>
    </w:p>
    <w:p>
      <w:pPr>
        <w:adjustRightInd w:val="0"/>
        <w:snapToGrid w:val="0"/>
        <w:spacing w:line="360" w:lineRule="auto"/>
        <w:rPr>
          <w:rFonts w:ascii="宋体" w:hAnsi="宋体" w:cs="宋体"/>
          <w:color w:val="auto"/>
          <w:sz w:val="32"/>
          <w:szCs w:val="32"/>
          <w:highlight w:val="none"/>
          <w:u w:val="dotted"/>
        </w:rPr>
      </w:pPr>
      <w:r>
        <w:rPr>
          <w:rFonts w:hint="eastAsia" w:ascii="宋体" w:hAnsi="宋体" w:cs="宋体"/>
          <w:color w:val="auto"/>
          <w:sz w:val="32"/>
          <w:szCs w:val="32"/>
          <w:highlight w:val="none"/>
        </w:rPr>
        <w:t>招标人名称：</w:t>
      </w:r>
    </w:p>
    <w:p>
      <w:pPr>
        <w:adjustRightInd w:val="0"/>
        <w:snapToGrid w:val="0"/>
        <w:spacing w:line="360" w:lineRule="auto"/>
        <w:rPr>
          <w:rFonts w:ascii="宋体" w:hAnsi="宋体" w:cs="宋体"/>
          <w:color w:val="auto"/>
          <w:sz w:val="32"/>
          <w:szCs w:val="32"/>
          <w:highlight w:val="none"/>
        </w:rPr>
      </w:pPr>
      <w:r>
        <w:rPr>
          <w:rFonts w:hint="eastAsia" w:ascii="宋体" w:hAnsi="宋体" w:cs="宋体"/>
          <w:color w:val="auto"/>
          <w:sz w:val="32"/>
          <w:szCs w:val="32"/>
          <w:highlight w:val="none"/>
        </w:rPr>
        <w:t>采购文件获取日期：</w:t>
      </w:r>
    </w:p>
    <w:p>
      <w:pPr>
        <w:adjustRightInd w:val="0"/>
        <w:snapToGrid w:val="0"/>
        <w:spacing w:line="360" w:lineRule="auto"/>
        <w:rPr>
          <w:rFonts w:ascii="宋体" w:hAnsi="宋体" w:cs="宋体"/>
          <w:bCs/>
          <w:color w:val="auto"/>
          <w:sz w:val="32"/>
          <w:szCs w:val="32"/>
          <w:highlight w:val="none"/>
        </w:rPr>
      </w:pPr>
      <w:r>
        <w:rPr>
          <w:rFonts w:hint="eastAsia" w:ascii="宋体" w:hAnsi="宋体" w:cs="宋体"/>
          <w:bCs/>
          <w:color w:val="auto"/>
          <w:sz w:val="32"/>
          <w:szCs w:val="32"/>
          <w:highlight w:val="none"/>
        </w:rPr>
        <w:t>三、质疑事项具体内容</w:t>
      </w:r>
    </w:p>
    <w:p>
      <w:pPr>
        <w:adjustRightInd w:val="0"/>
        <w:snapToGrid w:val="0"/>
        <w:spacing w:line="360" w:lineRule="auto"/>
        <w:rPr>
          <w:rFonts w:ascii="宋体" w:hAnsi="宋体" w:cs="宋体"/>
          <w:color w:val="auto"/>
          <w:sz w:val="32"/>
          <w:szCs w:val="32"/>
          <w:highlight w:val="none"/>
          <w:u w:val="dotted"/>
        </w:rPr>
      </w:pPr>
      <w:r>
        <w:rPr>
          <w:rFonts w:hint="eastAsia" w:ascii="宋体" w:hAnsi="宋体" w:cs="宋体"/>
          <w:color w:val="auto"/>
          <w:sz w:val="32"/>
          <w:szCs w:val="32"/>
          <w:highlight w:val="none"/>
        </w:rPr>
        <w:t>质疑事项1：</w:t>
      </w:r>
    </w:p>
    <w:p>
      <w:pPr>
        <w:adjustRightInd w:val="0"/>
        <w:snapToGrid w:val="0"/>
        <w:spacing w:line="360" w:lineRule="auto"/>
        <w:rPr>
          <w:rFonts w:ascii="宋体" w:hAnsi="宋体" w:cs="宋体"/>
          <w:color w:val="auto"/>
          <w:sz w:val="32"/>
          <w:szCs w:val="32"/>
          <w:highlight w:val="none"/>
          <w:u w:val="dotted"/>
        </w:rPr>
      </w:pPr>
      <w:r>
        <w:rPr>
          <w:rFonts w:hint="eastAsia" w:ascii="宋体" w:hAnsi="宋体" w:cs="宋体"/>
          <w:color w:val="auto"/>
          <w:sz w:val="32"/>
          <w:szCs w:val="32"/>
          <w:highlight w:val="none"/>
        </w:rPr>
        <w:t>事实依据：</w:t>
      </w:r>
    </w:p>
    <w:p>
      <w:pPr>
        <w:adjustRightInd w:val="0"/>
        <w:snapToGrid w:val="0"/>
        <w:spacing w:line="360" w:lineRule="auto"/>
        <w:rPr>
          <w:rFonts w:ascii="宋体" w:hAnsi="宋体" w:cs="宋体"/>
          <w:color w:val="auto"/>
          <w:sz w:val="32"/>
          <w:szCs w:val="32"/>
          <w:highlight w:val="none"/>
        </w:rPr>
      </w:pPr>
    </w:p>
    <w:p>
      <w:pPr>
        <w:adjustRightInd w:val="0"/>
        <w:snapToGrid w:val="0"/>
        <w:spacing w:line="360" w:lineRule="auto"/>
        <w:rPr>
          <w:rFonts w:ascii="宋体" w:hAnsi="宋体" w:cs="宋体"/>
          <w:color w:val="auto"/>
          <w:sz w:val="32"/>
          <w:szCs w:val="32"/>
          <w:highlight w:val="none"/>
          <w:u w:val="dotted"/>
        </w:rPr>
      </w:pPr>
      <w:r>
        <w:rPr>
          <w:rFonts w:hint="eastAsia" w:ascii="宋体" w:hAnsi="宋体" w:cs="宋体"/>
          <w:color w:val="auto"/>
          <w:sz w:val="32"/>
          <w:szCs w:val="32"/>
          <w:highlight w:val="none"/>
        </w:rPr>
        <w:t>法律依据：</w:t>
      </w:r>
    </w:p>
    <w:p>
      <w:pPr>
        <w:adjustRightInd w:val="0"/>
        <w:snapToGrid w:val="0"/>
        <w:spacing w:line="360" w:lineRule="auto"/>
        <w:rPr>
          <w:rFonts w:ascii="宋体" w:hAnsi="宋体" w:cs="宋体"/>
          <w:color w:val="auto"/>
          <w:sz w:val="32"/>
          <w:szCs w:val="32"/>
          <w:highlight w:val="none"/>
          <w:u w:val="dotted"/>
        </w:rPr>
      </w:pPr>
    </w:p>
    <w:p>
      <w:pPr>
        <w:adjustRightInd w:val="0"/>
        <w:snapToGrid w:val="0"/>
        <w:spacing w:line="360" w:lineRule="auto"/>
        <w:rPr>
          <w:rFonts w:ascii="宋体" w:hAnsi="宋体" w:cs="宋体"/>
          <w:color w:val="auto"/>
          <w:sz w:val="32"/>
          <w:szCs w:val="32"/>
          <w:highlight w:val="none"/>
          <w:u w:val="dotted"/>
        </w:rPr>
      </w:pPr>
      <w:r>
        <w:rPr>
          <w:rFonts w:hint="eastAsia" w:ascii="宋体" w:hAnsi="宋体" w:cs="宋体"/>
          <w:color w:val="auto"/>
          <w:sz w:val="32"/>
          <w:szCs w:val="32"/>
          <w:highlight w:val="none"/>
        </w:rPr>
        <w:t>质疑事项2</w:t>
      </w:r>
    </w:p>
    <w:p>
      <w:pPr>
        <w:adjustRightInd w:val="0"/>
        <w:snapToGrid w:val="0"/>
        <w:spacing w:line="360" w:lineRule="auto"/>
        <w:rPr>
          <w:rFonts w:ascii="宋体" w:hAnsi="宋体" w:cs="宋体"/>
          <w:color w:val="auto"/>
          <w:sz w:val="32"/>
          <w:szCs w:val="32"/>
          <w:highlight w:val="none"/>
        </w:rPr>
      </w:pPr>
      <w:r>
        <w:rPr>
          <w:rFonts w:hint="eastAsia" w:ascii="宋体" w:hAnsi="宋体" w:cs="宋体"/>
          <w:color w:val="auto"/>
          <w:sz w:val="32"/>
          <w:szCs w:val="32"/>
          <w:highlight w:val="none"/>
        </w:rPr>
        <w:t>……</w:t>
      </w:r>
    </w:p>
    <w:p>
      <w:pPr>
        <w:adjustRightInd w:val="0"/>
        <w:snapToGrid w:val="0"/>
        <w:spacing w:line="360" w:lineRule="auto"/>
        <w:rPr>
          <w:rFonts w:ascii="宋体" w:hAnsi="宋体" w:cs="宋体"/>
          <w:bCs/>
          <w:color w:val="auto"/>
          <w:sz w:val="32"/>
          <w:szCs w:val="32"/>
          <w:highlight w:val="none"/>
        </w:rPr>
      </w:pPr>
      <w:r>
        <w:rPr>
          <w:rFonts w:hint="eastAsia" w:ascii="宋体" w:hAnsi="宋体" w:cs="宋体"/>
          <w:bCs/>
          <w:color w:val="auto"/>
          <w:sz w:val="32"/>
          <w:szCs w:val="32"/>
          <w:highlight w:val="none"/>
        </w:rPr>
        <w:t>四、与质疑事项相关的质疑请求</w:t>
      </w:r>
    </w:p>
    <w:p>
      <w:pPr>
        <w:adjustRightInd w:val="0"/>
        <w:snapToGrid w:val="0"/>
        <w:spacing w:line="360" w:lineRule="auto"/>
        <w:rPr>
          <w:rFonts w:ascii="宋体" w:hAnsi="宋体" w:cs="宋体"/>
          <w:color w:val="auto"/>
          <w:sz w:val="32"/>
          <w:szCs w:val="32"/>
          <w:highlight w:val="none"/>
          <w:u w:val="dotted"/>
        </w:rPr>
      </w:pPr>
      <w:r>
        <w:rPr>
          <w:rFonts w:hint="eastAsia" w:ascii="宋体" w:hAnsi="宋体" w:cs="宋体"/>
          <w:color w:val="auto"/>
          <w:sz w:val="32"/>
          <w:szCs w:val="32"/>
          <w:highlight w:val="none"/>
        </w:rPr>
        <w:t>请求：</w:t>
      </w:r>
    </w:p>
    <w:p>
      <w:pPr>
        <w:rPr>
          <w:rFonts w:ascii="宋体" w:hAnsi="宋体" w:cs="宋体"/>
          <w:color w:val="auto"/>
          <w:sz w:val="30"/>
          <w:szCs w:val="30"/>
          <w:highlight w:val="none"/>
        </w:rPr>
      </w:pPr>
      <w:r>
        <w:rPr>
          <w:rFonts w:hint="eastAsia" w:ascii="宋体" w:hAnsi="宋体" w:cs="宋体"/>
          <w:color w:val="auto"/>
          <w:sz w:val="30"/>
          <w:szCs w:val="30"/>
          <w:highlight w:val="none"/>
        </w:rPr>
        <w:t xml:space="preserve">签字(签章)：                   公章：                      </w:t>
      </w:r>
    </w:p>
    <w:p>
      <w:pPr>
        <w:rPr>
          <w:rFonts w:ascii="宋体" w:hAnsi="宋体" w:cs="宋体"/>
          <w:color w:val="auto"/>
          <w:sz w:val="30"/>
          <w:szCs w:val="30"/>
          <w:highlight w:val="none"/>
        </w:rPr>
      </w:pPr>
      <w:r>
        <w:rPr>
          <w:rFonts w:hint="eastAsia" w:ascii="宋体" w:hAnsi="宋体" w:cs="宋体"/>
          <w:color w:val="auto"/>
          <w:sz w:val="30"/>
          <w:szCs w:val="30"/>
          <w:highlight w:val="none"/>
        </w:rPr>
        <w:t xml:space="preserve">日期：    </w:t>
      </w:r>
    </w:p>
    <w:p>
      <w:pPr>
        <w:rPr>
          <w:rFonts w:ascii="宋体" w:hAnsi="宋体" w:cs="宋体"/>
          <w:color w:val="auto"/>
          <w:sz w:val="32"/>
          <w:szCs w:val="32"/>
          <w:highlight w:val="none"/>
        </w:rPr>
      </w:pPr>
    </w:p>
    <w:p>
      <w:pPr>
        <w:pStyle w:val="35"/>
        <w:ind w:firstLine="240"/>
        <w:rPr>
          <w:rFonts w:ascii="宋体" w:hAnsi="宋体" w:cs="宋体"/>
          <w:color w:val="auto"/>
          <w:highlight w:val="none"/>
        </w:rPr>
      </w:pPr>
    </w:p>
    <w:p>
      <w:pPr>
        <w:rPr>
          <w:rFonts w:ascii="宋体" w:hAnsi="宋体" w:cs="宋体"/>
          <w:b/>
          <w:color w:val="auto"/>
          <w:sz w:val="32"/>
          <w:szCs w:val="32"/>
          <w:highlight w:val="none"/>
        </w:rPr>
      </w:pPr>
      <w:r>
        <w:rPr>
          <w:rFonts w:hint="eastAsia" w:ascii="宋体" w:hAnsi="宋体" w:cs="宋体"/>
          <w:b/>
          <w:color w:val="auto"/>
          <w:sz w:val="32"/>
          <w:szCs w:val="32"/>
          <w:highlight w:val="none"/>
        </w:rPr>
        <w:t>质疑函制作说明：</w:t>
      </w:r>
    </w:p>
    <w:p>
      <w:pPr>
        <w:widowControl/>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1.供应商提出质疑时，应提交质疑函和必要的证明材料。</w:t>
      </w:r>
    </w:p>
    <w:p>
      <w:pPr>
        <w:widowControl/>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2.质疑供应商若委托代理人进行质疑的，质疑函应按要求列明“授权代表”的有关内容，并在附件中提交由质疑</w:t>
      </w:r>
      <w:r>
        <w:rPr>
          <w:rFonts w:hint="eastAsia" w:ascii="宋体" w:hAnsi="宋体" w:cs="宋体"/>
          <w:color w:val="auto"/>
          <w:kern w:val="0"/>
          <w:sz w:val="32"/>
          <w:szCs w:val="32"/>
          <w:highlight w:val="none"/>
        </w:rPr>
        <w:t>供应商签署的授权委托书。授权委托书应载明代理人的姓名或者名称、代理事项、具体权限、期限和相关事项。</w:t>
      </w:r>
    </w:p>
    <w:p>
      <w:pPr>
        <w:widowControl/>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3.质疑供应商若对项目的某一分包进行质疑，质疑函中应列明具体分包号。</w:t>
      </w:r>
    </w:p>
    <w:p>
      <w:pPr>
        <w:widowControl/>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4.质疑函的质疑事项应具体、明确，并有必要的事实依据和法律依据。</w:t>
      </w:r>
    </w:p>
    <w:p>
      <w:pPr>
        <w:widowControl/>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5.质疑函的质疑请求应与质疑事项相关。</w:t>
      </w:r>
    </w:p>
    <w:p>
      <w:pPr>
        <w:widowControl/>
        <w:ind w:firstLine="640" w:firstLineChars="200"/>
        <w:jc w:val="left"/>
        <w:rPr>
          <w:rFonts w:ascii="宋体" w:hAnsi="宋体" w:cs="宋体"/>
          <w:color w:val="auto"/>
          <w:sz w:val="28"/>
          <w:szCs w:val="28"/>
          <w:highlight w:val="none"/>
        </w:rPr>
      </w:pPr>
      <w:r>
        <w:rPr>
          <w:rFonts w:hint="eastAsia" w:ascii="宋体" w:hAnsi="宋体" w:cs="宋体"/>
          <w:color w:val="auto"/>
          <w:sz w:val="32"/>
          <w:szCs w:val="32"/>
          <w:highlight w:val="none"/>
        </w:rPr>
        <w:t>6.质疑供应商为自然人的，质疑函应由本人签字；质疑供应商为法人或者其他组织的，质疑函应由法定代表人、主要负责人，或者其授权代表签字或者盖章，并加盖公章。</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2</w:t>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r>
      <mc:AlternateContent>
        <mc:Choice Requires="wps">
          <w:drawing>
            <wp:anchor distT="0" distB="0" distL="0" distR="0" simplePos="0" relativeHeight="251661312" behindDoc="0" locked="0" layoutInCell="1" allowOverlap="1">
              <wp:simplePos x="0" y="0"/>
              <wp:positionH relativeFrom="page">
                <wp:align>right</wp:align>
              </wp:positionH>
              <wp:positionV relativeFrom="page">
                <wp:align>top</wp:align>
              </wp:positionV>
              <wp:extent cx="443865" cy="443865"/>
              <wp:effectExtent l="0" t="0" r="0" b="16510"/>
              <wp:wrapNone/>
              <wp:docPr id="5" name="文本框 5" descr="KONE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ascii="Arial" w:hAnsi="Arial" w:eastAsia="Arial" w:cs="Arial"/>
                              <w:color w:val="000000"/>
                              <w:sz w:val="16"/>
                              <w:szCs w:val="16"/>
                            </w:rPr>
                          </w:pPr>
                        </w:p>
                      </w:txbxContent>
                    </wps:txbx>
                    <wps:bodyPr rot="0" spcFirstLastPara="0" vertOverflow="overflow" horzOverflow="overflow" vert="horz" wrap="none" lIns="0" tIns="190500" rIns="254000" bIns="0" numCol="1" spcCol="0" rtlCol="0" fromWordArt="0" anchor="t" anchorCtr="0" forceAA="0" compatLnSpc="1">
                      <a:spAutoFit/>
                    </wps:bodyPr>
                  </wps:wsp>
                </a:graphicData>
              </a:graphic>
            </wp:anchor>
          </w:drawing>
        </mc:Choice>
        <mc:Fallback>
          <w:pict>
            <v:shape id="_x0000_s1026" o:spid="_x0000_s1026" o:spt="202" alt="KONE Internal" type="#_x0000_t202" style="position:absolute;left:0pt;height:34.95pt;width:34.95pt;mso-position-horizontal:right;mso-position-horizontal-relative:page;mso-position-vertical:top;mso-position-vertical-relative:page;mso-wrap-style:none;z-index:251661312;mso-width-relative:page;mso-height-relative:page;" filled="f" stroked="f" coordsize="21600,21600" o:gfxdata="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Dv7GtQAAAADAQAADwAAAAAAAAABACAAAAAiAAAAZHJzL2Rv&#10;d25yZXYueG1sUEsBAhQAFAAAAAgAh07iQCD8Rt8+AgAAagQAAA4AAAAAAAAAAQAgAAAAIwEAAGRy&#10;cy9lMm9Eb2MueG1sUEsFBgAAAAAGAAYAWQEAANMFAAAAAA==&#10;">
              <v:fill on="f" focussize="0,0"/>
              <v:stroke on="f"/>
              <v:imagedata o:title=""/>
              <o:lock v:ext="edit" aspectratio="f"/>
              <v:textbox inset="0mm,15pt,20pt,0mm" style="mso-fit-shape-to-text:t;">
                <w:txbxContent>
                  <w:p>
                    <w:pPr>
                      <w:rPr>
                        <w:rFonts w:ascii="Arial" w:hAnsi="Arial" w:eastAsia="Arial" w:cs="Arial"/>
                        <w:color w:val="000000"/>
                        <w:sz w:val="16"/>
                        <w:szCs w:val="1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0" distR="0" simplePos="0" relativeHeight="251660288" behindDoc="0" locked="0" layoutInCell="1" allowOverlap="1">
              <wp:simplePos x="0" y="0"/>
              <wp:positionH relativeFrom="page">
                <wp:align>right</wp:align>
              </wp:positionH>
              <wp:positionV relativeFrom="page">
                <wp:align>top</wp:align>
              </wp:positionV>
              <wp:extent cx="443865" cy="443865"/>
              <wp:effectExtent l="0" t="0" r="0" b="16510"/>
              <wp:wrapNone/>
              <wp:docPr id="4" name="文本框 4" descr="KONE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ascii="Arial" w:hAnsi="Arial" w:eastAsia="Arial" w:cs="Arial"/>
                              <w:color w:val="000000"/>
                              <w:sz w:val="16"/>
                              <w:szCs w:val="16"/>
                            </w:rPr>
                          </w:pPr>
                          <w:r>
                            <w:rPr>
                              <w:rFonts w:ascii="Arial" w:hAnsi="Arial" w:eastAsia="Arial" w:cs="Arial"/>
                              <w:color w:val="000000"/>
                              <w:sz w:val="16"/>
                              <w:szCs w:val="16"/>
                            </w:rPr>
                            <w:t>KONE Internal</w:t>
                          </w:r>
                        </w:p>
                      </w:txbxContent>
                    </wps:txbx>
                    <wps:bodyPr rot="0" spcFirstLastPara="0" vertOverflow="overflow" horzOverflow="overflow" vert="horz" wrap="none" lIns="0" tIns="190500" rIns="254000" bIns="0" numCol="1" spcCol="0" rtlCol="0" fromWordArt="0" anchor="t" anchorCtr="0" forceAA="0" compatLnSpc="1">
                      <a:spAutoFit/>
                    </wps:bodyPr>
                  </wps:wsp>
                </a:graphicData>
              </a:graphic>
            </wp:anchor>
          </w:drawing>
        </mc:Choice>
        <mc:Fallback>
          <w:pict>
            <v:shape id="_x0000_s1026" o:spid="_x0000_s1026" o:spt="202" alt="KONE Internal" type="#_x0000_t202" style="position:absolute;left:0pt;height:34.95pt;width:34.95pt;mso-position-horizontal:right;mso-position-horizontal-relative:page;mso-position-vertical:top;mso-position-vertical-relative:page;mso-wrap-style:none;z-index:251660288;mso-width-relative:page;mso-height-relative:page;" filled="f" stroked="f" coordsize="21600,21600" o:gfxdata="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w7+xrUAAAAAwEAAA8AAAAAAAAAAQAgAAAAIgAAAGRycy9k&#10;b3ducmV2LnhtbFBLAQIUABQAAAAIAIdO4kAKwCJ3PwIAAGoEAAAOAAAAAAAAAAEAIAAAACMBAABk&#10;cnMvZTJvRG9jLnhtbFBLBQYAAAAABgAGAFkBAADUBQAAAAA=&#10;">
              <v:fill on="f" focussize="0,0"/>
              <v:stroke on="f"/>
              <v:imagedata o:title=""/>
              <o:lock v:ext="edit" aspectratio="f"/>
              <v:textbox inset="0mm,15pt,20pt,0mm" style="mso-fit-shape-to-text:t;">
                <w:txbxContent>
                  <w:p>
                    <w:pPr>
                      <w:rPr>
                        <w:rFonts w:ascii="Arial" w:hAnsi="Arial" w:eastAsia="Arial" w:cs="Arial"/>
                        <w:color w:val="000000"/>
                        <w:sz w:val="16"/>
                        <w:szCs w:val="16"/>
                      </w:rPr>
                    </w:pPr>
                    <w:r>
                      <w:rPr>
                        <w:rFonts w:ascii="Arial" w:hAnsi="Arial" w:eastAsia="Arial" w:cs="Arial"/>
                        <w:color w:val="000000"/>
                        <w:sz w:val="16"/>
                        <w:szCs w:val="16"/>
                      </w:rPr>
                      <w:t>KONE Internal</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0" distR="0" simplePos="0" relativeHeight="251659264" behindDoc="0" locked="0" layoutInCell="1" allowOverlap="1">
              <wp:simplePos x="0" y="0"/>
              <wp:positionH relativeFrom="page">
                <wp:align>right</wp:align>
              </wp:positionH>
              <wp:positionV relativeFrom="page">
                <wp:align>top</wp:align>
              </wp:positionV>
              <wp:extent cx="443865" cy="443865"/>
              <wp:effectExtent l="0" t="0" r="0" b="16510"/>
              <wp:wrapNone/>
              <wp:docPr id="3" name="文本框 3" descr="KONE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ascii="Arial" w:hAnsi="Arial" w:eastAsia="Arial" w:cs="Arial"/>
                              <w:color w:val="000000"/>
                              <w:sz w:val="16"/>
                              <w:szCs w:val="16"/>
                            </w:rPr>
                          </w:pPr>
                          <w:r>
                            <w:rPr>
                              <w:rFonts w:ascii="Arial" w:hAnsi="Arial" w:eastAsia="Arial" w:cs="Arial"/>
                              <w:color w:val="000000"/>
                              <w:sz w:val="16"/>
                              <w:szCs w:val="16"/>
                            </w:rPr>
                            <w:t>KONE Internal</w:t>
                          </w:r>
                        </w:p>
                      </w:txbxContent>
                    </wps:txbx>
                    <wps:bodyPr rot="0" spcFirstLastPara="0" vertOverflow="overflow" horzOverflow="overflow" vert="horz" wrap="none" lIns="0" tIns="190500" rIns="254000" bIns="0" numCol="1" spcCol="0" rtlCol="0" fromWordArt="0" anchor="t" anchorCtr="0" forceAA="0" compatLnSpc="1">
                      <a:spAutoFit/>
                    </wps:bodyPr>
                  </wps:wsp>
                </a:graphicData>
              </a:graphic>
            </wp:anchor>
          </w:drawing>
        </mc:Choice>
        <mc:Fallback>
          <w:pict>
            <v:shape id="_x0000_s1026" o:spid="_x0000_s1026" o:spt="202" alt="KONE Internal" type="#_x0000_t202" style="position:absolute;left:0pt;height:34.95pt;width:34.95pt;mso-position-horizontal:right;mso-position-horizontal-relative:page;mso-position-vertical:top;mso-position-vertical-relative:page;mso-wrap-style:none;z-index:251659264;mso-width-relative:page;mso-height-relative:page;" filled="f" stroked="f" coordsize="21600,21600" o:gfxdata="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8O/sa1AAAAAMBAAAPAAAAAAAAAAEAIAAAACIAAABkcnMv&#10;ZG93bnJldi54bWxQSwECFAAUAAAACACHTuJAXnj8mEACAABqBAAADgAAAAAAAAABACAAAAAjAQAA&#10;ZHJzL2Uyb0RvYy54bWxQSwUGAAAAAAYABgBZAQAA1QUAAAAA&#10;">
              <v:fill on="f" focussize="0,0"/>
              <v:stroke on="f"/>
              <v:imagedata o:title=""/>
              <o:lock v:ext="edit" aspectratio="f"/>
              <v:textbox inset="0mm,15pt,20pt,0mm" style="mso-fit-shape-to-text:t;">
                <w:txbxContent>
                  <w:p>
                    <w:pPr>
                      <w:rPr>
                        <w:rFonts w:ascii="Arial" w:hAnsi="Arial" w:eastAsia="Arial" w:cs="Arial"/>
                        <w:color w:val="000000"/>
                        <w:sz w:val="16"/>
                        <w:szCs w:val="16"/>
                      </w:rPr>
                    </w:pPr>
                    <w:r>
                      <w:rPr>
                        <w:rFonts w:ascii="Arial" w:hAnsi="Arial" w:eastAsia="Arial" w:cs="Arial"/>
                        <w:color w:val="000000"/>
                        <w:sz w:val="16"/>
                        <w:szCs w:val="16"/>
                      </w:rPr>
                      <w:t>KONE Internal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BD7C6B"/>
    <w:multiLevelType w:val="multilevel"/>
    <w:tmpl w:val="30BD7C6B"/>
    <w:lvl w:ilvl="0" w:tentative="0">
      <w:start w:val="1"/>
      <w:numFmt w:val="japaneseCounting"/>
      <w:lvlText w:val="第%1条"/>
      <w:lvlJc w:val="left"/>
      <w:pPr>
        <w:ind w:left="1172" w:hanging="750"/>
      </w:pPr>
      <w:rPr>
        <w:rFonts w:hint="default" w:hAnsi="宋体"/>
        <w:b/>
        <w:color w:val="000000"/>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
    <w:nsid w:val="38DA3F37"/>
    <w:multiLevelType w:val="multilevel"/>
    <w:tmpl w:val="38DA3F37"/>
    <w:lvl w:ilvl="0" w:tentative="0">
      <w:start w:val="1"/>
      <w:numFmt w:val="bullet"/>
      <w:pStyle w:val="129"/>
      <w:lvlText w:val=""/>
      <w:lvlJc w:val="left"/>
      <w:pPr>
        <w:tabs>
          <w:tab w:val="left" w:pos="480"/>
        </w:tabs>
        <w:ind w:left="480" w:hanging="480"/>
      </w:pPr>
      <w:rPr>
        <w:rFonts w:hint="default" w:ascii="Wingdings" w:hAnsi="Wingdings"/>
        <w:sz w:val="16"/>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JlZTQ3M2MyOTlmMGVhNjhkZmE5ZWE1NGZmOTI0MDMifQ=="/>
    <w:docVar w:name="KGWebUrl" w:val="http://jszfcg.jsczt.cn/jszc/gateWay/joffice/office?access_token=300b1800-803d-425e-b7b3-99806d8150e4"/>
    <w:docVar w:name="KSO_WPS_MARK_KEY" w:val="dc9524e9-0d5f-4bc5-b642-c69acf49d3a8"/>
  </w:docVars>
  <w:rsids>
    <w:rsidRoot w:val="0066708D"/>
    <w:rsid w:val="00000546"/>
    <w:rsid w:val="00000AB2"/>
    <w:rsid w:val="00001A88"/>
    <w:rsid w:val="00002A9B"/>
    <w:rsid w:val="00005EBA"/>
    <w:rsid w:val="000065AF"/>
    <w:rsid w:val="000103FA"/>
    <w:rsid w:val="00010733"/>
    <w:rsid w:val="0001111D"/>
    <w:rsid w:val="00011C32"/>
    <w:rsid w:val="00012EF0"/>
    <w:rsid w:val="000140D0"/>
    <w:rsid w:val="000144B7"/>
    <w:rsid w:val="00015136"/>
    <w:rsid w:val="00015ECD"/>
    <w:rsid w:val="000176B2"/>
    <w:rsid w:val="0001787A"/>
    <w:rsid w:val="000207EA"/>
    <w:rsid w:val="00020819"/>
    <w:rsid w:val="00020C52"/>
    <w:rsid w:val="0002112A"/>
    <w:rsid w:val="0002154A"/>
    <w:rsid w:val="00021B3F"/>
    <w:rsid w:val="0002219B"/>
    <w:rsid w:val="00023545"/>
    <w:rsid w:val="00023C3F"/>
    <w:rsid w:val="0002458D"/>
    <w:rsid w:val="0002533A"/>
    <w:rsid w:val="0002708D"/>
    <w:rsid w:val="000274F9"/>
    <w:rsid w:val="000277CD"/>
    <w:rsid w:val="00031AD6"/>
    <w:rsid w:val="00033FA3"/>
    <w:rsid w:val="00034346"/>
    <w:rsid w:val="00035051"/>
    <w:rsid w:val="000356E5"/>
    <w:rsid w:val="0003652A"/>
    <w:rsid w:val="00036F7E"/>
    <w:rsid w:val="00036FA3"/>
    <w:rsid w:val="00040669"/>
    <w:rsid w:val="0004264E"/>
    <w:rsid w:val="000431E3"/>
    <w:rsid w:val="0004496E"/>
    <w:rsid w:val="00044A66"/>
    <w:rsid w:val="00044ADE"/>
    <w:rsid w:val="000455CF"/>
    <w:rsid w:val="00045858"/>
    <w:rsid w:val="00046734"/>
    <w:rsid w:val="00046E7F"/>
    <w:rsid w:val="00047C17"/>
    <w:rsid w:val="00053E7A"/>
    <w:rsid w:val="0005583D"/>
    <w:rsid w:val="00056741"/>
    <w:rsid w:val="00056FCA"/>
    <w:rsid w:val="00057B6D"/>
    <w:rsid w:val="00057FCA"/>
    <w:rsid w:val="0006048F"/>
    <w:rsid w:val="000623F5"/>
    <w:rsid w:val="00062FB2"/>
    <w:rsid w:val="00063271"/>
    <w:rsid w:val="0006339F"/>
    <w:rsid w:val="000634B6"/>
    <w:rsid w:val="00065F50"/>
    <w:rsid w:val="000667DA"/>
    <w:rsid w:val="000668A4"/>
    <w:rsid w:val="0006738D"/>
    <w:rsid w:val="00067715"/>
    <w:rsid w:val="00067F36"/>
    <w:rsid w:val="000713A7"/>
    <w:rsid w:val="00071E47"/>
    <w:rsid w:val="00071F57"/>
    <w:rsid w:val="0007260D"/>
    <w:rsid w:val="00073424"/>
    <w:rsid w:val="00073BED"/>
    <w:rsid w:val="00074988"/>
    <w:rsid w:val="0007540B"/>
    <w:rsid w:val="00075842"/>
    <w:rsid w:val="00076AE9"/>
    <w:rsid w:val="00076F71"/>
    <w:rsid w:val="0007742F"/>
    <w:rsid w:val="0008009E"/>
    <w:rsid w:val="0008018D"/>
    <w:rsid w:val="00081396"/>
    <w:rsid w:val="00082843"/>
    <w:rsid w:val="00082CBF"/>
    <w:rsid w:val="00083333"/>
    <w:rsid w:val="000839F1"/>
    <w:rsid w:val="00084436"/>
    <w:rsid w:val="00084DE0"/>
    <w:rsid w:val="00085157"/>
    <w:rsid w:val="00085D79"/>
    <w:rsid w:val="00085EFE"/>
    <w:rsid w:val="00085F42"/>
    <w:rsid w:val="00085F63"/>
    <w:rsid w:val="000860FE"/>
    <w:rsid w:val="0008766A"/>
    <w:rsid w:val="00090915"/>
    <w:rsid w:val="00090BE7"/>
    <w:rsid w:val="00091CD8"/>
    <w:rsid w:val="0009490F"/>
    <w:rsid w:val="00094B87"/>
    <w:rsid w:val="000954BA"/>
    <w:rsid w:val="0009592A"/>
    <w:rsid w:val="0009616F"/>
    <w:rsid w:val="00096BFB"/>
    <w:rsid w:val="00097BCB"/>
    <w:rsid w:val="000A096A"/>
    <w:rsid w:val="000A0EF7"/>
    <w:rsid w:val="000A0EF8"/>
    <w:rsid w:val="000A15A0"/>
    <w:rsid w:val="000A2563"/>
    <w:rsid w:val="000A3F28"/>
    <w:rsid w:val="000A5187"/>
    <w:rsid w:val="000A57C8"/>
    <w:rsid w:val="000A58DC"/>
    <w:rsid w:val="000A7BC8"/>
    <w:rsid w:val="000A7EB6"/>
    <w:rsid w:val="000A7F6B"/>
    <w:rsid w:val="000B003D"/>
    <w:rsid w:val="000B07BD"/>
    <w:rsid w:val="000B0A49"/>
    <w:rsid w:val="000B15CC"/>
    <w:rsid w:val="000B1722"/>
    <w:rsid w:val="000B3041"/>
    <w:rsid w:val="000B5449"/>
    <w:rsid w:val="000B5677"/>
    <w:rsid w:val="000B58E2"/>
    <w:rsid w:val="000B6AFD"/>
    <w:rsid w:val="000B78B3"/>
    <w:rsid w:val="000B7CF5"/>
    <w:rsid w:val="000C0636"/>
    <w:rsid w:val="000C0D0D"/>
    <w:rsid w:val="000C25FD"/>
    <w:rsid w:val="000C3603"/>
    <w:rsid w:val="000C4F19"/>
    <w:rsid w:val="000C515F"/>
    <w:rsid w:val="000C54C8"/>
    <w:rsid w:val="000C58C8"/>
    <w:rsid w:val="000C6322"/>
    <w:rsid w:val="000C661B"/>
    <w:rsid w:val="000C6D20"/>
    <w:rsid w:val="000C6FFF"/>
    <w:rsid w:val="000C7774"/>
    <w:rsid w:val="000D0DE2"/>
    <w:rsid w:val="000D190E"/>
    <w:rsid w:val="000D1FC9"/>
    <w:rsid w:val="000D2BD4"/>
    <w:rsid w:val="000D2EFF"/>
    <w:rsid w:val="000D455E"/>
    <w:rsid w:val="000D4848"/>
    <w:rsid w:val="000D4C7D"/>
    <w:rsid w:val="000D53CE"/>
    <w:rsid w:val="000D5A2E"/>
    <w:rsid w:val="000D5A42"/>
    <w:rsid w:val="000D5B2C"/>
    <w:rsid w:val="000D63AA"/>
    <w:rsid w:val="000D682C"/>
    <w:rsid w:val="000D6D29"/>
    <w:rsid w:val="000D7507"/>
    <w:rsid w:val="000D7E1A"/>
    <w:rsid w:val="000E0BDF"/>
    <w:rsid w:val="000E13C5"/>
    <w:rsid w:val="000E190A"/>
    <w:rsid w:val="000E29B5"/>
    <w:rsid w:val="000E3129"/>
    <w:rsid w:val="000E3178"/>
    <w:rsid w:val="000E386B"/>
    <w:rsid w:val="000E3BA3"/>
    <w:rsid w:val="000E458D"/>
    <w:rsid w:val="000E66B5"/>
    <w:rsid w:val="000E6876"/>
    <w:rsid w:val="000E69A2"/>
    <w:rsid w:val="000E6D6C"/>
    <w:rsid w:val="000E76D0"/>
    <w:rsid w:val="000E7DCC"/>
    <w:rsid w:val="000F07A2"/>
    <w:rsid w:val="000F11C4"/>
    <w:rsid w:val="000F1FA3"/>
    <w:rsid w:val="000F3E9B"/>
    <w:rsid w:val="000F4096"/>
    <w:rsid w:val="000F4358"/>
    <w:rsid w:val="000F4E0F"/>
    <w:rsid w:val="000F553D"/>
    <w:rsid w:val="000F5999"/>
    <w:rsid w:val="000F5CF5"/>
    <w:rsid w:val="000F63C9"/>
    <w:rsid w:val="000F7710"/>
    <w:rsid w:val="000F7B55"/>
    <w:rsid w:val="000F7E6C"/>
    <w:rsid w:val="00100340"/>
    <w:rsid w:val="001009A1"/>
    <w:rsid w:val="001019ED"/>
    <w:rsid w:val="00102701"/>
    <w:rsid w:val="00102AE0"/>
    <w:rsid w:val="00103948"/>
    <w:rsid w:val="00104837"/>
    <w:rsid w:val="00104B62"/>
    <w:rsid w:val="00104F7C"/>
    <w:rsid w:val="001053C5"/>
    <w:rsid w:val="001072DB"/>
    <w:rsid w:val="00107435"/>
    <w:rsid w:val="001106D9"/>
    <w:rsid w:val="0011159C"/>
    <w:rsid w:val="00113481"/>
    <w:rsid w:val="00113BB9"/>
    <w:rsid w:val="00114978"/>
    <w:rsid w:val="00114F16"/>
    <w:rsid w:val="001153F6"/>
    <w:rsid w:val="001178DB"/>
    <w:rsid w:val="00117AFB"/>
    <w:rsid w:val="00117E6F"/>
    <w:rsid w:val="00122C11"/>
    <w:rsid w:val="00123015"/>
    <w:rsid w:val="001231D6"/>
    <w:rsid w:val="00126278"/>
    <w:rsid w:val="00130180"/>
    <w:rsid w:val="00131BEC"/>
    <w:rsid w:val="00131DDD"/>
    <w:rsid w:val="0013222E"/>
    <w:rsid w:val="0013301F"/>
    <w:rsid w:val="0013336A"/>
    <w:rsid w:val="00133842"/>
    <w:rsid w:val="00133A76"/>
    <w:rsid w:val="00134655"/>
    <w:rsid w:val="0013596A"/>
    <w:rsid w:val="00135ACB"/>
    <w:rsid w:val="00135FAC"/>
    <w:rsid w:val="001363E8"/>
    <w:rsid w:val="0013686A"/>
    <w:rsid w:val="00136C12"/>
    <w:rsid w:val="00142F1A"/>
    <w:rsid w:val="00144AE9"/>
    <w:rsid w:val="00145A1C"/>
    <w:rsid w:val="001462E0"/>
    <w:rsid w:val="00146479"/>
    <w:rsid w:val="00146643"/>
    <w:rsid w:val="00147766"/>
    <w:rsid w:val="00152826"/>
    <w:rsid w:val="001546EC"/>
    <w:rsid w:val="0015474F"/>
    <w:rsid w:val="00154AF5"/>
    <w:rsid w:val="001550C0"/>
    <w:rsid w:val="00155ECE"/>
    <w:rsid w:val="0015612C"/>
    <w:rsid w:val="00156E3A"/>
    <w:rsid w:val="00157D64"/>
    <w:rsid w:val="001608D5"/>
    <w:rsid w:val="00161A82"/>
    <w:rsid w:val="0016272D"/>
    <w:rsid w:val="00162CC5"/>
    <w:rsid w:val="00163284"/>
    <w:rsid w:val="00163A7C"/>
    <w:rsid w:val="00164509"/>
    <w:rsid w:val="001655B9"/>
    <w:rsid w:val="001665AB"/>
    <w:rsid w:val="0016728C"/>
    <w:rsid w:val="00167E2D"/>
    <w:rsid w:val="00167EC9"/>
    <w:rsid w:val="001702F5"/>
    <w:rsid w:val="001703A3"/>
    <w:rsid w:val="00170B76"/>
    <w:rsid w:val="00172460"/>
    <w:rsid w:val="0017266D"/>
    <w:rsid w:val="0017324A"/>
    <w:rsid w:val="0017377A"/>
    <w:rsid w:val="001742F6"/>
    <w:rsid w:val="001745FF"/>
    <w:rsid w:val="001748AC"/>
    <w:rsid w:val="0017497C"/>
    <w:rsid w:val="00174EF5"/>
    <w:rsid w:val="001765AB"/>
    <w:rsid w:val="00177023"/>
    <w:rsid w:val="001770E3"/>
    <w:rsid w:val="00177438"/>
    <w:rsid w:val="00181911"/>
    <w:rsid w:val="001820D2"/>
    <w:rsid w:val="00182509"/>
    <w:rsid w:val="001838FE"/>
    <w:rsid w:val="00183A3A"/>
    <w:rsid w:val="00184AD9"/>
    <w:rsid w:val="00184AF5"/>
    <w:rsid w:val="00185828"/>
    <w:rsid w:val="00185A94"/>
    <w:rsid w:val="00186126"/>
    <w:rsid w:val="0018665E"/>
    <w:rsid w:val="00186DF5"/>
    <w:rsid w:val="001875B3"/>
    <w:rsid w:val="0019010A"/>
    <w:rsid w:val="001902EE"/>
    <w:rsid w:val="0019058C"/>
    <w:rsid w:val="00192A38"/>
    <w:rsid w:val="0019303E"/>
    <w:rsid w:val="00193AA3"/>
    <w:rsid w:val="00193F84"/>
    <w:rsid w:val="0019554C"/>
    <w:rsid w:val="0019566E"/>
    <w:rsid w:val="00195BE1"/>
    <w:rsid w:val="00195FAC"/>
    <w:rsid w:val="001964AF"/>
    <w:rsid w:val="001964E7"/>
    <w:rsid w:val="0019670E"/>
    <w:rsid w:val="001A0707"/>
    <w:rsid w:val="001A14DF"/>
    <w:rsid w:val="001A2111"/>
    <w:rsid w:val="001A4E8F"/>
    <w:rsid w:val="001A51B7"/>
    <w:rsid w:val="001A57C2"/>
    <w:rsid w:val="001A7795"/>
    <w:rsid w:val="001A7B4C"/>
    <w:rsid w:val="001A7BFE"/>
    <w:rsid w:val="001B01C6"/>
    <w:rsid w:val="001B14E0"/>
    <w:rsid w:val="001B1E96"/>
    <w:rsid w:val="001B3348"/>
    <w:rsid w:val="001B4291"/>
    <w:rsid w:val="001B5076"/>
    <w:rsid w:val="001B5244"/>
    <w:rsid w:val="001B56B0"/>
    <w:rsid w:val="001B6558"/>
    <w:rsid w:val="001B6C7A"/>
    <w:rsid w:val="001B7843"/>
    <w:rsid w:val="001B7F42"/>
    <w:rsid w:val="001C0AC4"/>
    <w:rsid w:val="001C170B"/>
    <w:rsid w:val="001C20B6"/>
    <w:rsid w:val="001C3F12"/>
    <w:rsid w:val="001C3F14"/>
    <w:rsid w:val="001C3F6B"/>
    <w:rsid w:val="001C507C"/>
    <w:rsid w:val="001C7569"/>
    <w:rsid w:val="001C7754"/>
    <w:rsid w:val="001C78FA"/>
    <w:rsid w:val="001D07F0"/>
    <w:rsid w:val="001D0D3C"/>
    <w:rsid w:val="001D186B"/>
    <w:rsid w:val="001D1EB2"/>
    <w:rsid w:val="001D2A96"/>
    <w:rsid w:val="001D3142"/>
    <w:rsid w:val="001D46CF"/>
    <w:rsid w:val="001D4B9A"/>
    <w:rsid w:val="001D5309"/>
    <w:rsid w:val="001D5795"/>
    <w:rsid w:val="001D61A5"/>
    <w:rsid w:val="001D6222"/>
    <w:rsid w:val="001D638F"/>
    <w:rsid w:val="001D6765"/>
    <w:rsid w:val="001D6DE3"/>
    <w:rsid w:val="001D6E04"/>
    <w:rsid w:val="001E13F5"/>
    <w:rsid w:val="001E1D55"/>
    <w:rsid w:val="001E220C"/>
    <w:rsid w:val="001E3D01"/>
    <w:rsid w:val="001E5F42"/>
    <w:rsid w:val="001E64A5"/>
    <w:rsid w:val="001E6B99"/>
    <w:rsid w:val="001E72E5"/>
    <w:rsid w:val="001F1467"/>
    <w:rsid w:val="001F1694"/>
    <w:rsid w:val="001F16AE"/>
    <w:rsid w:val="001F1D43"/>
    <w:rsid w:val="001F2610"/>
    <w:rsid w:val="001F34D5"/>
    <w:rsid w:val="001F358D"/>
    <w:rsid w:val="001F466D"/>
    <w:rsid w:val="001F4DEE"/>
    <w:rsid w:val="001F517D"/>
    <w:rsid w:val="001F6156"/>
    <w:rsid w:val="001F635C"/>
    <w:rsid w:val="001F72DB"/>
    <w:rsid w:val="00201A73"/>
    <w:rsid w:val="00201F4E"/>
    <w:rsid w:val="00202420"/>
    <w:rsid w:val="0020349E"/>
    <w:rsid w:val="002034E3"/>
    <w:rsid w:val="00203681"/>
    <w:rsid w:val="00203EB0"/>
    <w:rsid w:val="00204064"/>
    <w:rsid w:val="002044CF"/>
    <w:rsid w:val="00204BAB"/>
    <w:rsid w:val="002057BF"/>
    <w:rsid w:val="00206EDA"/>
    <w:rsid w:val="00207F66"/>
    <w:rsid w:val="00210072"/>
    <w:rsid w:val="00210108"/>
    <w:rsid w:val="002108C1"/>
    <w:rsid w:val="00213737"/>
    <w:rsid w:val="00213A43"/>
    <w:rsid w:val="00214214"/>
    <w:rsid w:val="0021486E"/>
    <w:rsid w:val="0021542F"/>
    <w:rsid w:val="0021700A"/>
    <w:rsid w:val="00217736"/>
    <w:rsid w:val="002203F5"/>
    <w:rsid w:val="00220B3A"/>
    <w:rsid w:val="002238CD"/>
    <w:rsid w:val="00224912"/>
    <w:rsid w:val="00224A02"/>
    <w:rsid w:val="00225AD4"/>
    <w:rsid w:val="00225ED7"/>
    <w:rsid w:val="00227B1A"/>
    <w:rsid w:val="0023036A"/>
    <w:rsid w:val="002304ED"/>
    <w:rsid w:val="00230F76"/>
    <w:rsid w:val="00231953"/>
    <w:rsid w:val="002323C9"/>
    <w:rsid w:val="00232418"/>
    <w:rsid w:val="0023372A"/>
    <w:rsid w:val="00234BC9"/>
    <w:rsid w:val="00237012"/>
    <w:rsid w:val="0023725A"/>
    <w:rsid w:val="0024022F"/>
    <w:rsid w:val="0024032F"/>
    <w:rsid w:val="002406D4"/>
    <w:rsid w:val="00240A90"/>
    <w:rsid w:val="0024151B"/>
    <w:rsid w:val="00241910"/>
    <w:rsid w:val="00241A39"/>
    <w:rsid w:val="00241C90"/>
    <w:rsid w:val="00242A26"/>
    <w:rsid w:val="00243320"/>
    <w:rsid w:val="00244FA6"/>
    <w:rsid w:val="00245BDC"/>
    <w:rsid w:val="00245C24"/>
    <w:rsid w:val="00246E3C"/>
    <w:rsid w:val="00247379"/>
    <w:rsid w:val="00247879"/>
    <w:rsid w:val="00250329"/>
    <w:rsid w:val="002508D3"/>
    <w:rsid w:val="002511DA"/>
    <w:rsid w:val="0025120B"/>
    <w:rsid w:val="00251334"/>
    <w:rsid w:val="0025276A"/>
    <w:rsid w:val="00253B4C"/>
    <w:rsid w:val="002557D2"/>
    <w:rsid w:val="002567F6"/>
    <w:rsid w:val="00256976"/>
    <w:rsid w:val="00256EF8"/>
    <w:rsid w:val="002574B8"/>
    <w:rsid w:val="00260643"/>
    <w:rsid w:val="002610E8"/>
    <w:rsid w:val="002625F8"/>
    <w:rsid w:val="002629C0"/>
    <w:rsid w:val="002630CD"/>
    <w:rsid w:val="0026343B"/>
    <w:rsid w:val="00263475"/>
    <w:rsid w:val="00263FB2"/>
    <w:rsid w:val="002642D6"/>
    <w:rsid w:val="0026460E"/>
    <w:rsid w:val="0026460F"/>
    <w:rsid w:val="00264B46"/>
    <w:rsid w:val="00264E34"/>
    <w:rsid w:val="00264FD3"/>
    <w:rsid w:val="0026519F"/>
    <w:rsid w:val="002655B1"/>
    <w:rsid w:val="0026568D"/>
    <w:rsid w:val="0026582D"/>
    <w:rsid w:val="00266D65"/>
    <w:rsid w:val="002674FC"/>
    <w:rsid w:val="00267C26"/>
    <w:rsid w:val="00267CE1"/>
    <w:rsid w:val="00272FE7"/>
    <w:rsid w:val="00273807"/>
    <w:rsid w:val="002759E6"/>
    <w:rsid w:val="002774F2"/>
    <w:rsid w:val="00277A71"/>
    <w:rsid w:val="00277A7C"/>
    <w:rsid w:val="00280DAA"/>
    <w:rsid w:val="00280F02"/>
    <w:rsid w:val="00281521"/>
    <w:rsid w:val="0028165B"/>
    <w:rsid w:val="0028342A"/>
    <w:rsid w:val="00287D53"/>
    <w:rsid w:val="00290131"/>
    <w:rsid w:val="00290232"/>
    <w:rsid w:val="0029088E"/>
    <w:rsid w:val="0029120D"/>
    <w:rsid w:val="00291528"/>
    <w:rsid w:val="00292989"/>
    <w:rsid w:val="002929E4"/>
    <w:rsid w:val="0029448F"/>
    <w:rsid w:val="002953BA"/>
    <w:rsid w:val="002973FD"/>
    <w:rsid w:val="00297900"/>
    <w:rsid w:val="002A11B9"/>
    <w:rsid w:val="002A1226"/>
    <w:rsid w:val="002A156B"/>
    <w:rsid w:val="002A2121"/>
    <w:rsid w:val="002A221F"/>
    <w:rsid w:val="002A27C2"/>
    <w:rsid w:val="002A28DD"/>
    <w:rsid w:val="002A31EB"/>
    <w:rsid w:val="002A36AA"/>
    <w:rsid w:val="002A432D"/>
    <w:rsid w:val="002A46DC"/>
    <w:rsid w:val="002A537C"/>
    <w:rsid w:val="002A5646"/>
    <w:rsid w:val="002A5B21"/>
    <w:rsid w:val="002A6112"/>
    <w:rsid w:val="002A73E5"/>
    <w:rsid w:val="002A775D"/>
    <w:rsid w:val="002B0137"/>
    <w:rsid w:val="002B2759"/>
    <w:rsid w:val="002B37EB"/>
    <w:rsid w:val="002B405E"/>
    <w:rsid w:val="002B4B4F"/>
    <w:rsid w:val="002B4F8A"/>
    <w:rsid w:val="002B55A3"/>
    <w:rsid w:val="002B6197"/>
    <w:rsid w:val="002B6E98"/>
    <w:rsid w:val="002B766C"/>
    <w:rsid w:val="002B7DA4"/>
    <w:rsid w:val="002C0538"/>
    <w:rsid w:val="002C16D8"/>
    <w:rsid w:val="002C170D"/>
    <w:rsid w:val="002C1F75"/>
    <w:rsid w:val="002C27CB"/>
    <w:rsid w:val="002C465E"/>
    <w:rsid w:val="002C4831"/>
    <w:rsid w:val="002C5D8E"/>
    <w:rsid w:val="002C7464"/>
    <w:rsid w:val="002C7D4D"/>
    <w:rsid w:val="002D039C"/>
    <w:rsid w:val="002D0AED"/>
    <w:rsid w:val="002D0EE5"/>
    <w:rsid w:val="002D123F"/>
    <w:rsid w:val="002D24FF"/>
    <w:rsid w:val="002D32C5"/>
    <w:rsid w:val="002D3D9A"/>
    <w:rsid w:val="002D3DCF"/>
    <w:rsid w:val="002D4AAB"/>
    <w:rsid w:val="002D4FA1"/>
    <w:rsid w:val="002D5175"/>
    <w:rsid w:val="002D5706"/>
    <w:rsid w:val="002D64F0"/>
    <w:rsid w:val="002D6AE9"/>
    <w:rsid w:val="002D71CE"/>
    <w:rsid w:val="002D7415"/>
    <w:rsid w:val="002D7E99"/>
    <w:rsid w:val="002E0187"/>
    <w:rsid w:val="002E0917"/>
    <w:rsid w:val="002E0BAC"/>
    <w:rsid w:val="002E0D30"/>
    <w:rsid w:val="002E11B4"/>
    <w:rsid w:val="002E1B34"/>
    <w:rsid w:val="002E2BB0"/>
    <w:rsid w:val="002E396A"/>
    <w:rsid w:val="002E4D12"/>
    <w:rsid w:val="002E5DDE"/>
    <w:rsid w:val="002E6446"/>
    <w:rsid w:val="002E6A31"/>
    <w:rsid w:val="002E6B1F"/>
    <w:rsid w:val="002E6E72"/>
    <w:rsid w:val="002E72F4"/>
    <w:rsid w:val="002E76B3"/>
    <w:rsid w:val="002E7808"/>
    <w:rsid w:val="002E7FB0"/>
    <w:rsid w:val="002F0578"/>
    <w:rsid w:val="002F0D77"/>
    <w:rsid w:val="002F1659"/>
    <w:rsid w:val="002F354E"/>
    <w:rsid w:val="002F3654"/>
    <w:rsid w:val="002F3A00"/>
    <w:rsid w:val="002F419E"/>
    <w:rsid w:val="002F4C7F"/>
    <w:rsid w:val="002F57E4"/>
    <w:rsid w:val="002F61AE"/>
    <w:rsid w:val="002F68A1"/>
    <w:rsid w:val="002F7741"/>
    <w:rsid w:val="002F7B80"/>
    <w:rsid w:val="002F7E83"/>
    <w:rsid w:val="00300D52"/>
    <w:rsid w:val="003016F6"/>
    <w:rsid w:val="003017D8"/>
    <w:rsid w:val="003017F0"/>
    <w:rsid w:val="00301958"/>
    <w:rsid w:val="00302E96"/>
    <w:rsid w:val="003036FD"/>
    <w:rsid w:val="00303B8F"/>
    <w:rsid w:val="003045D9"/>
    <w:rsid w:val="00304E4E"/>
    <w:rsid w:val="00304FA6"/>
    <w:rsid w:val="00305686"/>
    <w:rsid w:val="00305B5A"/>
    <w:rsid w:val="003068A0"/>
    <w:rsid w:val="00313C9F"/>
    <w:rsid w:val="00314A90"/>
    <w:rsid w:val="00314C91"/>
    <w:rsid w:val="00317669"/>
    <w:rsid w:val="00317F41"/>
    <w:rsid w:val="00321C1B"/>
    <w:rsid w:val="00323BB3"/>
    <w:rsid w:val="00323C57"/>
    <w:rsid w:val="00323F5E"/>
    <w:rsid w:val="003251A6"/>
    <w:rsid w:val="00325DFB"/>
    <w:rsid w:val="00326695"/>
    <w:rsid w:val="00326724"/>
    <w:rsid w:val="00326CD4"/>
    <w:rsid w:val="003276EC"/>
    <w:rsid w:val="0032783F"/>
    <w:rsid w:val="00327A7D"/>
    <w:rsid w:val="00327AA9"/>
    <w:rsid w:val="00327EF8"/>
    <w:rsid w:val="00330AE8"/>
    <w:rsid w:val="003328C0"/>
    <w:rsid w:val="0033346D"/>
    <w:rsid w:val="00333606"/>
    <w:rsid w:val="00333C74"/>
    <w:rsid w:val="00333F95"/>
    <w:rsid w:val="00336FA4"/>
    <w:rsid w:val="003373C4"/>
    <w:rsid w:val="00340043"/>
    <w:rsid w:val="003405C5"/>
    <w:rsid w:val="00340B10"/>
    <w:rsid w:val="00340B9E"/>
    <w:rsid w:val="00341755"/>
    <w:rsid w:val="003418B5"/>
    <w:rsid w:val="00341D0F"/>
    <w:rsid w:val="003429F7"/>
    <w:rsid w:val="00343AF8"/>
    <w:rsid w:val="00344EEB"/>
    <w:rsid w:val="00345001"/>
    <w:rsid w:val="0034558C"/>
    <w:rsid w:val="0034621E"/>
    <w:rsid w:val="003470F7"/>
    <w:rsid w:val="00347E34"/>
    <w:rsid w:val="00350672"/>
    <w:rsid w:val="00350899"/>
    <w:rsid w:val="00351BC2"/>
    <w:rsid w:val="003522CC"/>
    <w:rsid w:val="003526B4"/>
    <w:rsid w:val="00352985"/>
    <w:rsid w:val="003535D6"/>
    <w:rsid w:val="003535E0"/>
    <w:rsid w:val="003549F2"/>
    <w:rsid w:val="00354BDD"/>
    <w:rsid w:val="0035616F"/>
    <w:rsid w:val="003563B1"/>
    <w:rsid w:val="00357154"/>
    <w:rsid w:val="00360F5B"/>
    <w:rsid w:val="00361E8D"/>
    <w:rsid w:val="00362FAE"/>
    <w:rsid w:val="00363883"/>
    <w:rsid w:val="003653F1"/>
    <w:rsid w:val="00365C15"/>
    <w:rsid w:val="00365F0A"/>
    <w:rsid w:val="0036618A"/>
    <w:rsid w:val="00367AEE"/>
    <w:rsid w:val="00367EC3"/>
    <w:rsid w:val="00370716"/>
    <w:rsid w:val="003717BE"/>
    <w:rsid w:val="00371CFC"/>
    <w:rsid w:val="00373C45"/>
    <w:rsid w:val="003741A5"/>
    <w:rsid w:val="00374DC8"/>
    <w:rsid w:val="00374EDA"/>
    <w:rsid w:val="003751D7"/>
    <w:rsid w:val="00375586"/>
    <w:rsid w:val="00376496"/>
    <w:rsid w:val="00376828"/>
    <w:rsid w:val="00376848"/>
    <w:rsid w:val="003777AF"/>
    <w:rsid w:val="00377F76"/>
    <w:rsid w:val="00380270"/>
    <w:rsid w:val="00380302"/>
    <w:rsid w:val="00381EDB"/>
    <w:rsid w:val="003821DE"/>
    <w:rsid w:val="003828B9"/>
    <w:rsid w:val="00382A56"/>
    <w:rsid w:val="0038377B"/>
    <w:rsid w:val="003838D5"/>
    <w:rsid w:val="003847D6"/>
    <w:rsid w:val="0038725A"/>
    <w:rsid w:val="0038781F"/>
    <w:rsid w:val="00387E64"/>
    <w:rsid w:val="00390CF5"/>
    <w:rsid w:val="003926C1"/>
    <w:rsid w:val="003926C9"/>
    <w:rsid w:val="00393134"/>
    <w:rsid w:val="00393422"/>
    <w:rsid w:val="00393BAC"/>
    <w:rsid w:val="0039416E"/>
    <w:rsid w:val="00394C24"/>
    <w:rsid w:val="00394C8F"/>
    <w:rsid w:val="00396451"/>
    <w:rsid w:val="00396F85"/>
    <w:rsid w:val="00397448"/>
    <w:rsid w:val="003A0212"/>
    <w:rsid w:val="003A19CB"/>
    <w:rsid w:val="003A23EC"/>
    <w:rsid w:val="003A2746"/>
    <w:rsid w:val="003A2952"/>
    <w:rsid w:val="003A3D3D"/>
    <w:rsid w:val="003A5070"/>
    <w:rsid w:val="003A56B0"/>
    <w:rsid w:val="003A58EF"/>
    <w:rsid w:val="003A7076"/>
    <w:rsid w:val="003B05BC"/>
    <w:rsid w:val="003B0CEC"/>
    <w:rsid w:val="003B156C"/>
    <w:rsid w:val="003B23CE"/>
    <w:rsid w:val="003B2D19"/>
    <w:rsid w:val="003B5901"/>
    <w:rsid w:val="003B60FA"/>
    <w:rsid w:val="003B64EA"/>
    <w:rsid w:val="003B7B4D"/>
    <w:rsid w:val="003C0ADC"/>
    <w:rsid w:val="003C290B"/>
    <w:rsid w:val="003C69F6"/>
    <w:rsid w:val="003C6BEE"/>
    <w:rsid w:val="003C7549"/>
    <w:rsid w:val="003D0866"/>
    <w:rsid w:val="003D1841"/>
    <w:rsid w:val="003D1E69"/>
    <w:rsid w:val="003D201B"/>
    <w:rsid w:val="003D3555"/>
    <w:rsid w:val="003D3C66"/>
    <w:rsid w:val="003D3C71"/>
    <w:rsid w:val="003D419D"/>
    <w:rsid w:val="003D4480"/>
    <w:rsid w:val="003D59CF"/>
    <w:rsid w:val="003E017B"/>
    <w:rsid w:val="003E154C"/>
    <w:rsid w:val="003E3316"/>
    <w:rsid w:val="003E36FF"/>
    <w:rsid w:val="003E3A6B"/>
    <w:rsid w:val="003E3FE6"/>
    <w:rsid w:val="003E4653"/>
    <w:rsid w:val="003E4C9C"/>
    <w:rsid w:val="003E5334"/>
    <w:rsid w:val="003E5B3D"/>
    <w:rsid w:val="003E5F84"/>
    <w:rsid w:val="003E6B15"/>
    <w:rsid w:val="003E6C59"/>
    <w:rsid w:val="003E6E66"/>
    <w:rsid w:val="003E71C6"/>
    <w:rsid w:val="003E75C3"/>
    <w:rsid w:val="003E7911"/>
    <w:rsid w:val="003E7EB7"/>
    <w:rsid w:val="003F1302"/>
    <w:rsid w:val="003F1DF8"/>
    <w:rsid w:val="003F2792"/>
    <w:rsid w:val="003F291E"/>
    <w:rsid w:val="003F3CDE"/>
    <w:rsid w:val="003F4CA5"/>
    <w:rsid w:val="003F5766"/>
    <w:rsid w:val="003F5F8E"/>
    <w:rsid w:val="003F6ABB"/>
    <w:rsid w:val="003F73A5"/>
    <w:rsid w:val="004016E9"/>
    <w:rsid w:val="00401799"/>
    <w:rsid w:val="00401EA0"/>
    <w:rsid w:val="00402145"/>
    <w:rsid w:val="0040233A"/>
    <w:rsid w:val="00402838"/>
    <w:rsid w:val="0040431B"/>
    <w:rsid w:val="004044FA"/>
    <w:rsid w:val="00404D80"/>
    <w:rsid w:val="00405393"/>
    <w:rsid w:val="00406A9D"/>
    <w:rsid w:val="00406CB3"/>
    <w:rsid w:val="00407107"/>
    <w:rsid w:val="00410143"/>
    <w:rsid w:val="004105DE"/>
    <w:rsid w:val="00410F2E"/>
    <w:rsid w:val="0041144F"/>
    <w:rsid w:val="00412477"/>
    <w:rsid w:val="0041654F"/>
    <w:rsid w:val="0041717C"/>
    <w:rsid w:val="004214C7"/>
    <w:rsid w:val="00421885"/>
    <w:rsid w:val="004220FE"/>
    <w:rsid w:val="0042410A"/>
    <w:rsid w:val="004260D0"/>
    <w:rsid w:val="00430320"/>
    <w:rsid w:val="004307C8"/>
    <w:rsid w:val="00431D96"/>
    <w:rsid w:val="00431E81"/>
    <w:rsid w:val="004330EC"/>
    <w:rsid w:val="004332C6"/>
    <w:rsid w:val="00434253"/>
    <w:rsid w:val="004368B8"/>
    <w:rsid w:val="004368C0"/>
    <w:rsid w:val="00437BCE"/>
    <w:rsid w:val="0044040E"/>
    <w:rsid w:val="00442837"/>
    <w:rsid w:val="00442CC6"/>
    <w:rsid w:val="00442D73"/>
    <w:rsid w:val="00443251"/>
    <w:rsid w:val="00443A18"/>
    <w:rsid w:val="00443F68"/>
    <w:rsid w:val="00444153"/>
    <w:rsid w:val="00444FFC"/>
    <w:rsid w:val="00445426"/>
    <w:rsid w:val="0044560A"/>
    <w:rsid w:val="00446D75"/>
    <w:rsid w:val="00447864"/>
    <w:rsid w:val="00451F81"/>
    <w:rsid w:val="004539C0"/>
    <w:rsid w:val="00454344"/>
    <w:rsid w:val="00454549"/>
    <w:rsid w:val="00455070"/>
    <w:rsid w:val="004555B3"/>
    <w:rsid w:val="004558F1"/>
    <w:rsid w:val="004575AE"/>
    <w:rsid w:val="004601C9"/>
    <w:rsid w:val="0046230E"/>
    <w:rsid w:val="0046252B"/>
    <w:rsid w:val="00462E98"/>
    <w:rsid w:val="00462FB0"/>
    <w:rsid w:val="004649C4"/>
    <w:rsid w:val="00464DBB"/>
    <w:rsid w:val="00465A2D"/>
    <w:rsid w:val="00465D0B"/>
    <w:rsid w:val="0046686D"/>
    <w:rsid w:val="004707AA"/>
    <w:rsid w:val="00470E6C"/>
    <w:rsid w:val="004717E4"/>
    <w:rsid w:val="00471BE5"/>
    <w:rsid w:val="00472F1D"/>
    <w:rsid w:val="00473F45"/>
    <w:rsid w:val="00474A50"/>
    <w:rsid w:val="00475BAC"/>
    <w:rsid w:val="00477808"/>
    <w:rsid w:val="00477956"/>
    <w:rsid w:val="00477C17"/>
    <w:rsid w:val="00480125"/>
    <w:rsid w:val="0048064D"/>
    <w:rsid w:val="00481CF4"/>
    <w:rsid w:val="00482AC2"/>
    <w:rsid w:val="00484BE4"/>
    <w:rsid w:val="00485409"/>
    <w:rsid w:val="004855F7"/>
    <w:rsid w:val="004859EA"/>
    <w:rsid w:val="00485ECB"/>
    <w:rsid w:val="00485EE2"/>
    <w:rsid w:val="00486224"/>
    <w:rsid w:val="004869F6"/>
    <w:rsid w:val="00486B1D"/>
    <w:rsid w:val="00487133"/>
    <w:rsid w:val="004875BB"/>
    <w:rsid w:val="00487660"/>
    <w:rsid w:val="00487D91"/>
    <w:rsid w:val="00487EF2"/>
    <w:rsid w:val="00490621"/>
    <w:rsid w:val="00490BE1"/>
    <w:rsid w:val="00490C75"/>
    <w:rsid w:val="004940E5"/>
    <w:rsid w:val="00495CB3"/>
    <w:rsid w:val="00496580"/>
    <w:rsid w:val="0049714F"/>
    <w:rsid w:val="00497832"/>
    <w:rsid w:val="004A0A36"/>
    <w:rsid w:val="004A0D52"/>
    <w:rsid w:val="004A12A1"/>
    <w:rsid w:val="004A2483"/>
    <w:rsid w:val="004A31AA"/>
    <w:rsid w:val="004A35F5"/>
    <w:rsid w:val="004B003C"/>
    <w:rsid w:val="004B189D"/>
    <w:rsid w:val="004B2308"/>
    <w:rsid w:val="004B358B"/>
    <w:rsid w:val="004B3660"/>
    <w:rsid w:val="004B3D1C"/>
    <w:rsid w:val="004B49D4"/>
    <w:rsid w:val="004B5ADC"/>
    <w:rsid w:val="004B72E4"/>
    <w:rsid w:val="004B7608"/>
    <w:rsid w:val="004B7615"/>
    <w:rsid w:val="004B7CC5"/>
    <w:rsid w:val="004B7E0F"/>
    <w:rsid w:val="004C332F"/>
    <w:rsid w:val="004C37CF"/>
    <w:rsid w:val="004C3EEB"/>
    <w:rsid w:val="004C4941"/>
    <w:rsid w:val="004C5199"/>
    <w:rsid w:val="004C5A46"/>
    <w:rsid w:val="004C6290"/>
    <w:rsid w:val="004C6799"/>
    <w:rsid w:val="004C6D77"/>
    <w:rsid w:val="004D0458"/>
    <w:rsid w:val="004D0ADB"/>
    <w:rsid w:val="004D0BAA"/>
    <w:rsid w:val="004D1B87"/>
    <w:rsid w:val="004D3D50"/>
    <w:rsid w:val="004D3F25"/>
    <w:rsid w:val="004D5EDE"/>
    <w:rsid w:val="004E09A2"/>
    <w:rsid w:val="004E0ADF"/>
    <w:rsid w:val="004E0EC2"/>
    <w:rsid w:val="004E185D"/>
    <w:rsid w:val="004E198B"/>
    <w:rsid w:val="004E1A9A"/>
    <w:rsid w:val="004E2F92"/>
    <w:rsid w:val="004E363C"/>
    <w:rsid w:val="004E4671"/>
    <w:rsid w:val="004E511E"/>
    <w:rsid w:val="004E5615"/>
    <w:rsid w:val="004E594D"/>
    <w:rsid w:val="004E5C26"/>
    <w:rsid w:val="004E5C64"/>
    <w:rsid w:val="004E7CDB"/>
    <w:rsid w:val="004F0376"/>
    <w:rsid w:val="004F0CDF"/>
    <w:rsid w:val="004F0FE2"/>
    <w:rsid w:val="004F3153"/>
    <w:rsid w:val="004F3C8A"/>
    <w:rsid w:val="004F420A"/>
    <w:rsid w:val="004F46A5"/>
    <w:rsid w:val="004F5294"/>
    <w:rsid w:val="004F5E50"/>
    <w:rsid w:val="005001F5"/>
    <w:rsid w:val="0050111B"/>
    <w:rsid w:val="00502C8A"/>
    <w:rsid w:val="00503728"/>
    <w:rsid w:val="005047CE"/>
    <w:rsid w:val="00505500"/>
    <w:rsid w:val="00505AC7"/>
    <w:rsid w:val="005061DE"/>
    <w:rsid w:val="0050782F"/>
    <w:rsid w:val="00510353"/>
    <w:rsid w:val="005109F7"/>
    <w:rsid w:val="00510A09"/>
    <w:rsid w:val="00511165"/>
    <w:rsid w:val="005116BA"/>
    <w:rsid w:val="00513B6A"/>
    <w:rsid w:val="0051446B"/>
    <w:rsid w:val="00515399"/>
    <w:rsid w:val="00515B9C"/>
    <w:rsid w:val="00516114"/>
    <w:rsid w:val="00516A92"/>
    <w:rsid w:val="005175F9"/>
    <w:rsid w:val="0052011E"/>
    <w:rsid w:val="00521296"/>
    <w:rsid w:val="0052232A"/>
    <w:rsid w:val="00522541"/>
    <w:rsid w:val="0052292E"/>
    <w:rsid w:val="00523930"/>
    <w:rsid w:val="00524276"/>
    <w:rsid w:val="005243FD"/>
    <w:rsid w:val="005250D8"/>
    <w:rsid w:val="005250E0"/>
    <w:rsid w:val="00525373"/>
    <w:rsid w:val="005263BF"/>
    <w:rsid w:val="005279E2"/>
    <w:rsid w:val="00530D01"/>
    <w:rsid w:val="00533196"/>
    <w:rsid w:val="005347D0"/>
    <w:rsid w:val="005365CA"/>
    <w:rsid w:val="00536991"/>
    <w:rsid w:val="00536EFE"/>
    <w:rsid w:val="00537500"/>
    <w:rsid w:val="00540316"/>
    <w:rsid w:val="0054065A"/>
    <w:rsid w:val="00540EB0"/>
    <w:rsid w:val="00541004"/>
    <w:rsid w:val="00541053"/>
    <w:rsid w:val="00542949"/>
    <w:rsid w:val="00542CF0"/>
    <w:rsid w:val="005467BF"/>
    <w:rsid w:val="00546EEA"/>
    <w:rsid w:val="00547737"/>
    <w:rsid w:val="005501FD"/>
    <w:rsid w:val="005505B1"/>
    <w:rsid w:val="00551BF3"/>
    <w:rsid w:val="00553F39"/>
    <w:rsid w:val="00556151"/>
    <w:rsid w:val="005562CB"/>
    <w:rsid w:val="005563D1"/>
    <w:rsid w:val="00556B11"/>
    <w:rsid w:val="00556D35"/>
    <w:rsid w:val="00560142"/>
    <w:rsid w:val="00560B23"/>
    <w:rsid w:val="00561773"/>
    <w:rsid w:val="00561D4F"/>
    <w:rsid w:val="00561DC2"/>
    <w:rsid w:val="00562684"/>
    <w:rsid w:val="00562E39"/>
    <w:rsid w:val="005632A3"/>
    <w:rsid w:val="005632D7"/>
    <w:rsid w:val="0056489B"/>
    <w:rsid w:val="00564BF9"/>
    <w:rsid w:val="00565B7B"/>
    <w:rsid w:val="00566B4E"/>
    <w:rsid w:val="00566BF8"/>
    <w:rsid w:val="00566EE0"/>
    <w:rsid w:val="005677B2"/>
    <w:rsid w:val="00567D88"/>
    <w:rsid w:val="0057069C"/>
    <w:rsid w:val="00571C4D"/>
    <w:rsid w:val="005735AC"/>
    <w:rsid w:val="00575A5E"/>
    <w:rsid w:val="00575EC7"/>
    <w:rsid w:val="00576784"/>
    <w:rsid w:val="0057779B"/>
    <w:rsid w:val="00580806"/>
    <w:rsid w:val="005808D7"/>
    <w:rsid w:val="00580BF7"/>
    <w:rsid w:val="00581F8C"/>
    <w:rsid w:val="005823DC"/>
    <w:rsid w:val="0058255D"/>
    <w:rsid w:val="00582F70"/>
    <w:rsid w:val="00584C1C"/>
    <w:rsid w:val="00585198"/>
    <w:rsid w:val="00586426"/>
    <w:rsid w:val="00586A2A"/>
    <w:rsid w:val="00590CF2"/>
    <w:rsid w:val="00591CAE"/>
    <w:rsid w:val="00592A42"/>
    <w:rsid w:val="005937F3"/>
    <w:rsid w:val="0059392D"/>
    <w:rsid w:val="005950E1"/>
    <w:rsid w:val="0059579B"/>
    <w:rsid w:val="00597865"/>
    <w:rsid w:val="005A0E0A"/>
    <w:rsid w:val="005A2016"/>
    <w:rsid w:val="005A2EA2"/>
    <w:rsid w:val="005A3504"/>
    <w:rsid w:val="005A559E"/>
    <w:rsid w:val="005A60E5"/>
    <w:rsid w:val="005A6C6C"/>
    <w:rsid w:val="005A74D4"/>
    <w:rsid w:val="005A78C1"/>
    <w:rsid w:val="005A7F48"/>
    <w:rsid w:val="005B09CF"/>
    <w:rsid w:val="005B1402"/>
    <w:rsid w:val="005B1C57"/>
    <w:rsid w:val="005B3D9B"/>
    <w:rsid w:val="005B55B2"/>
    <w:rsid w:val="005B71E3"/>
    <w:rsid w:val="005C31E4"/>
    <w:rsid w:val="005C32F2"/>
    <w:rsid w:val="005C35F6"/>
    <w:rsid w:val="005C3EBE"/>
    <w:rsid w:val="005C564A"/>
    <w:rsid w:val="005C564E"/>
    <w:rsid w:val="005C5B8F"/>
    <w:rsid w:val="005C5CFE"/>
    <w:rsid w:val="005C5D43"/>
    <w:rsid w:val="005C6048"/>
    <w:rsid w:val="005C61E3"/>
    <w:rsid w:val="005C740A"/>
    <w:rsid w:val="005C74D0"/>
    <w:rsid w:val="005C7BD5"/>
    <w:rsid w:val="005C7E74"/>
    <w:rsid w:val="005D223D"/>
    <w:rsid w:val="005D2428"/>
    <w:rsid w:val="005D2AD8"/>
    <w:rsid w:val="005D3696"/>
    <w:rsid w:val="005D3AF2"/>
    <w:rsid w:val="005D6053"/>
    <w:rsid w:val="005D7816"/>
    <w:rsid w:val="005D798C"/>
    <w:rsid w:val="005E2119"/>
    <w:rsid w:val="005E38BB"/>
    <w:rsid w:val="005E49A3"/>
    <w:rsid w:val="005E6BFC"/>
    <w:rsid w:val="005E6D29"/>
    <w:rsid w:val="005E6E97"/>
    <w:rsid w:val="005E7E46"/>
    <w:rsid w:val="005F0A73"/>
    <w:rsid w:val="005F1DDE"/>
    <w:rsid w:val="005F33F4"/>
    <w:rsid w:val="005F347B"/>
    <w:rsid w:val="005F363A"/>
    <w:rsid w:val="005F37A7"/>
    <w:rsid w:val="005F3A1F"/>
    <w:rsid w:val="005F4FAA"/>
    <w:rsid w:val="005F5C7F"/>
    <w:rsid w:val="006015AD"/>
    <w:rsid w:val="006023B5"/>
    <w:rsid w:val="0060456C"/>
    <w:rsid w:val="006046E5"/>
    <w:rsid w:val="006048EE"/>
    <w:rsid w:val="00607499"/>
    <w:rsid w:val="00607679"/>
    <w:rsid w:val="00612F49"/>
    <w:rsid w:val="0061417D"/>
    <w:rsid w:val="0061547A"/>
    <w:rsid w:val="00616D1C"/>
    <w:rsid w:val="00616FD4"/>
    <w:rsid w:val="00621416"/>
    <w:rsid w:val="0062198B"/>
    <w:rsid w:val="0062417D"/>
    <w:rsid w:val="00625AFB"/>
    <w:rsid w:val="00626796"/>
    <w:rsid w:val="0062722E"/>
    <w:rsid w:val="00627F04"/>
    <w:rsid w:val="00633086"/>
    <w:rsid w:val="00635E25"/>
    <w:rsid w:val="00635FBA"/>
    <w:rsid w:val="0063671A"/>
    <w:rsid w:val="00640FDD"/>
    <w:rsid w:val="006416E6"/>
    <w:rsid w:val="00641F10"/>
    <w:rsid w:val="006426A8"/>
    <w:rsid w:val="00643D3F"/>
    <w:rsid w:val="00643F93"/>
    <w:rsid w:val="0064478C"/>
    <w:rsid w:val="00646AAA"/>
    <w:rsid w:val="00647082"/>
    <w:rsid w:val="00650160"/>
    <w:rsid w:val="0065076A"/>
    <w:rsid w:val="00652D87"/>
    <w:rsid w:val="00653456"/>
    <w:rsid w:val="00653742"/>
    <w:rsid w:val="00653774"/>
    <w:rsid w:val="0065575F"/>
    <w:rsid w:val="006568A2"/>
    <w:rsid w:val="006568D7"/>
    <w:rsid w:val="00656CAE"/>
    <w:rsid w:val="00657F6A"/>
    <w:rsid w:val="006604BC"/>
    <w:rsid w:val="00660F80"/>
    <w:rsid w:val="00663999"/>
    <w:rsid w:val="00663BF8"/>
    <w:rsid w:val="00666A34"/>
    <w:rsid w:val="00666A7B"/>
    <w:rsid w:val="00666B4C"/>
    <w:rsid w:val="0066708D"/>
    <w:rsid w:val="0066722F"/>
    <w:rsid w:val="00667558"/>
    <w:rsid w:val="0066792B"/>
    <w:rsid w:val="0066798C"/>
    <w:rsid w:val="00667B2A"/>
    <w:rsid w:val="00670779"/>
    <w:rsid w:val="006709C6"/>
    <w:rsid w:val="00671B3A"/>
    <w:rsid w:val="00671C19"/>
    <w:rsid w:val="00672FE7"/>
    <w:rsid w:val="00673107"/>
    <w:rsid w:val="0068012A"/>
    <w:rsid w:val="00680D84"/>
    <w:rsid w:val="00680E1B"/>
    <w:rsid w:val="00681790"/>
    <w:rsid w:val="0068304D"/>
    <w:rsid w:val="00683C15"/>
    <w:rsid w:val="00683E0C"/>
    <w:rsid w:val="00685117"/>
    <w:rsid w:val="00685CB8"/>
    <w:rsid w:val="0068646F"/>
    <w:rsid w:val="0068671D"/>
    <w:rsid w:val="006873E2"/>
    <w:rsid w:val="0068768A"/>
    <w:rsid w:val="00687B70"/>
    <w:rsid w:val="00690582"/>
    <w:rsid w:val="00690848"/>
    <w:rsid w:val="00690E7F"/>
    <w:rsid w:val="006913DB"/>
    <w:rsid w:val="00691F22"/>
    <w:rsid w:val="0069212E"/>
    <w:rsid w:val="00692831"/>
    <w:rsid w:val="00693A34"/>
    <w:rsid w:val="00693B3A"/>
    <w:rsid w:val="00693B58"/>
    <w:rsid w:val="00694A80"/>
    <w:rsid w:val="00695B21"/>
    <w:rsid w:val="00696431"/>
    <w:rsid w:val="00696F86"/>
    <w:rsid w:val="006A3983"/>
    <w:rsid w:val="006A4770"/>
    <w:rsid w:val="006A4FB4"/>
    <w:rsid w:val="006A534B"/>
    <w:rsid w:val="006A68F1"/>
    <w:rsid w:val="006A6A75"/>
    <w:rsid w:val="006A6C5C"/>
    <w:rsid w:val="006A7302"/>
    <w:rsid w:val="006B00DC"/>
    <w:rsid w:val="006B098C"/>
    <w:rsid w:val="006B0FFF"/>
    <w:rsid w:val="006B16FF"/>
    <w:rsid w:val="006B1B1D"/>
    <w:rsid w:val="006B285C"/>
    <w:rsid w:val="006B2902"/>
    <w:rsid w:val="006B2E88"/>
    <w:rsid w:val="006B4295"/>
    <w:rsid w:val="006B45EE"/>
    <w:rsid w:val="006B4814"/>
    <w:rsid w:val="006B66CC"/>
    <w:rsid w:val="006B7B03"/>
    <w:rsid w:val="006B7D34"/>
    <w:rsid w:val="006C1F55"/>
    <w:rsid w:val="006C2854"/>
    <w:rsid w:val="006C2923"/>
    <w:rsid w:val="006C3311"/>
    <w:rsid w:val="006C3F4E"/>
    <w:rsid w:val="006C46C9"/>
    <w:rsid w:val="006C4D46"/>
    <w:rsid w:val="006C5FB9"/>
    <w:rsid w:val="006C6CDD"/>
    <w:rsid w:val="006C6F6B"/>
    <w:rsid w:val="006C793F"/>
    <w:rsid w:val="006D0A6E"/>
    <w:rsid w:val="006D39A0"/>
    <w:rsid w:val="006D3F37"/>
    <w:rsid w:val="006D5119"/>
    <w:rsid w:val="006D6FAE"/>
    <w:rsid w:val="006D7703"/>
    <w:rsid w:val="006D77B1"/>
    <w:rsid w:val="006E008F"/>
    <w:rsid w:val="006E01D7"/>
    <w:rsid w:val="006E1D37"/>
    <w:rsid w:val="006E3CC9"/>
    <w:rsid w:val="006E5648"/>
    <w:rsid w:val="006E6446"/>
    <w:rsid w:val="006E70D0"/>
    <w:rsid w:val="006E7DC1"/>
    <w:rsid w:val="006F0AFA"/>
    <w:rsid w:val="006F0E2C"/>
    <w:rsid w:val="006F1F80"/>
    <w:rsid w:val="006F27A5"/>
    <w:rsid w:val="006F33F2"/>
    <w:rsid w:val="006F39DF"/>
    <w:rsid w:val="006F58FF"/>
    <w:rsid w:val="006F59B6"/>
    <w:rsid w:val="006F7B38"/>
    <w:rsid w:val="00700097"/>
    <w:rsid w:val="00700883"/>
    <w:rsid w:val="00700BD8"/>
    <w:rsid w:val="007020A2"/>
    <w:rsid w:val="00702D60"/>
    <w:rsid w:val="00702F14"/>
    <w:rsid w:val="0070302C"/>
    <w:rsid w:val="007037B5"/>
    <w:rsid w:val="00703865"/>
    <w:rsid w:val="00704125"/>
    <w:rsid w:val="0070429A"/>
    <w:rsid w:val="00704BAD"/>
    <w:rsid w:val="00705055"/>
    <w:rsid w:val="00706023"/>
    <w:rsid w:val="00706370"/>
    <w:rsid w:val="00706C55"/>
    <w:rsid w:val="00707165"/>
    <w:rsid w:val="00707232"/>
    <w:rsid w:val="0071105F"/>
    <w:rsid w:val="00711215"/>
    <w:rsid w:val="0071139A"/>
    <w:rsid w:val="0071149B"/>
    <w:rsid w:val="007121B2"/>
    <w:rsid w:val="00713D30"/>
    <w:rsid w:val="00714BC8"/>
    <w:rsid w:val="0071583B"/>
    <w:rsid w:val="0071661C"/>
    <w:rsid w:val="007168E1"/>
    <w:rsid w:val="00720101"/>
    <w:rsid w:val="0072078A"/>
    <w:rsid w:val="007213D7"/>
    <w:rsid w:val="007216E2"/>
    <w:rsid w:val="0072221F"/>
    <w:rsid w:val="00722441"/>
    <w:rsid w:val="0072334E"/>
    <w:rsid w:val="0072356B"/>
    <w:rsid w:val="00723ACC"/>
    <w:rsid w:val="00725A2F"/>
    <w:rsid w:val="0072665F"/>
    <w:rsid w:val="00727D3F"/>
    <w:rsid w:val="0073070A"/>
    <w:rsid w:val="007308AF"/>
    <w:rsid w:val="00730D50"/>
    <w:rsid w:val="007311C8"/>
    <w:rsid w:val="00731352"/>
    <w:rsid w:val="007314A8"/>
    <w:rsid w:val="00732C6E"/>
    <w:rsid w:val="00734E48"/>
    <w:rsid w:val="0073573A"/>
    <w:rsid w:val="00735C9B"/>
    <w:rsid w:val="00737311"/>
    <w:rsid w:val="00740E4C"/>
    <w:rsid w:val="00741048"/>
    <w:rsid w:val="007410B2"/>
    <w:rsid w:val="00741D87"/>
    <w:rsid w:val="00742DD5"/>
    <w:rsid w:val="00743236"/>
    <w:rsid w:val="00744BAA"/>
    <w:rsid w:val="00745800"/>
    <w:rsid w:val="00745C5D"/>
    <w:rsid w:val="00746365"/>
    <w:rsid w:val="0074797A"/>
    <w:rsid w:val="00751F41"/>
    <w:rsid w:val="007520D1"/>
    <w:rsid w:val="00752E8D"/>
    <w:rsid w:val="0075467C"/>
    <w:rsid w:val="00756049"/>
    <w:rsid w:val="007565ED"/>
    <w:rsid w:val="007576AE"/>
    <w:rsid w:val="00757B96"/>
    <w:rsid w:val="00760359"/>
    <w:rsid w:val="0076249B"/>
    <w:rsid w:val="00762780"/>
    <w:rsid w:val="00762E44"/>
    <w:rsid w:val="00763193"/>
    <w:rsid w:val="00763252"/>
    <w:rsid w:val="0076338C"/>
    <w:rsid w:val="00763910"/>
    <w:rsid w:val="00764E9B"/>
    <w:rsid w:val="00765611"/>
    <w:rsid w:val="00771A5E"/>
    <w:rsid w:val="00771A8A"/>
    <w:rsid w:val="00771BB5"/>
    <w:rsid w:val="00771E3B"/>
    <w:rsid w:val="00772293"/>
    <w:rsid w:val="00773465"/>
    <w:rsid w:val="00773862"/>
    <w:rsid w:val="0077434F"/>
    <w:rsid w:val="007759C2"/>
    <w:rsid w:val="00776194"/>
    <w:rsid w:val="007762E8"/>
    <w:rsid w:val="00777477"/>
    <w:rsid w:val="00777947"/>
    <w:rsid w:val="00777B07"/>
    <w:rsid w:val="00777B1C"/>
    <w:rsid w:val="007806BC"/>
    <w:rsid w:val="007809CB"/>
    <w:rsid w:val="00781491"/>
    <w:rsid w:val="00782FF0"/>
    <w:rsid w:val="00783D95"/>
    <w:rsid w:val="00783F1A"/>
    <w:rsid w:val="0078439F"/>
    <w:rsid w:val="0078524A"/>
    <w:rsid w:val="00785605"/>
    <w:rsid w:val="00787EB1"/>
    <w:rsid w:val="007906DC"/>
    <w:rsid w:val="00790D0F"/>
    <w:rsid w:val="0079107F"/>
    <w:rsid w:val="00792AEC"/>
    <w:rsid w:val="007963DB"/>
    <w:rsid w:val="00796F1B"/>
    <w:rsid w:val="00797A4E"/>
    <w:rsid w:val="00797C4E"/>
    <w:rsid w:val="007A0307"/>
    <w:rsid w:val="007A043A"/>
    <w:rsid w:val="007A142B"/>
    <w:rsid w:val="007A1CBE"/>
    <w:rsid w:val="007A3148"/>
    <w:rsid w:val="007A4620"/>
    <w:rsid w:val="007A50C4"/>
    <w:rsid w:val="007A5430"/>
    <w:rsid w:val="007A6E0B"/>
    <w:rsid w:val="007A70B4"/>
    <w:rsid w:val="007B048E"/>
    <w:rsid w:val="007B077E"/>
    <w:rsid w:val="007B1A3D"/>
    <w:rsid w:val="007B20B8"/>
    <w:rsid w:val="007B2345"/>
    <w:rsid w:val="007B297F"/>
    <w:rsid w:val="007B2B65"/>
    <w:rsid w:val="007B3B7D"/>
    <w:rsid w:val="007B4062"/>
    <w:rsid w:val="007B461D"/>
    <w:rsid w:val="007B5ADC"/>
    <w:rsid w:val="007B5DEF"/>
    <w:rsid w:val="007B5F91"/>
    <w:rsid w:val="007B62C7"/>
    <w:rsid w:val="007B6697"/>
    <w:rsid w:val="007B7E0C"/>
    <w:rsid w:val="007C01D6"/>
    <w:rsid w:val="007C12D4"/>
    <w:rsid w:val="007C16EA"/>
    <w:rsid w:val="007C1789"/>
    <w:rsid w:val="007C1A23"/>
    <w:rsid w:val="007C228C"/>
    <w:rsid w:val="007C29A3"/>
    <w:rsid w:val="007C2CA3"/>
    <w:rsid w:val="007C3230"/>
    <w:rsid w:val="007C3527"/>
    <w:rsid w:val="007C57CB"/>
    <w:rsid w:val="007C5BAD"/>
    <w:rsid w:val="007C5DDE"/>
    <w:rsid w:val="007C60DB"/>
    <w:rsid w:val="007C6147"/>
    <w:rsid w:val="007C6AD5"/>
    <w:rsid w:val="007C6C85"/>
    <w:rsid w:val="007C72FF"/>
    <w:rsid w:val="007C7827"/>
    <w:rsid w:val="007C795E"/>
    <w:rsid w:val="007C7DAB"/>
    <w:rsid w:val="007D23CA"/>
    <w:rsid w:val="007D28A8"/>
    <w:rsid w:val="007D34F2"/>
    <w:rsid w:val="007D3E13"/>
    <w:rsid w:val="007D42C2"/>
    <w:rsid w:val="007D4A85"/>
    <w:rsid w:val="007D4C90"/>
    <w:rsid w:val="007D602B"/>
    <w:rsid w:val="007D64DA"/>
    <w:rsid w:val="007D6B19"/>
    <w:rsid w:val="007D6D9A"/>
    <w:rsid w:val="007D7074"/>
    <w:rsid w:val="007E0F13"/>
    <w:rsid w:val="007E1294"/>
    <w:rsid w:val="007E19D6"/>
    <w:rsid w:val="007E3986"/>
    <w:rsid w:val="007E4615"/>
    <w:rsid w:val="007E5A5F"/>
    <w:rsid w:val="007E66A2"/>
    <w:rsid w:val="007E6B04"/>
    <w:rsid w:val="007E6F3C"/>
    <w:rsid w:val="007E7FE8"/>
    <w:rsid w:val="007F08EE"/>
    <w:rsid w:val="007F190C"/>
    <w:rsid w:val="007F1947"/>
    <w:rsid w:val="007F19E9"/>
    <w:rsid w:val="007F32E7"/>
    <w:rsid w:val="007F33D5"/>
    <w:rsid w:val="007F4046"/>
    <w:rsid w:val="007F7FE6"/>
    <w:rsid w:val="00801100"/>
    <w:rsid w:val="00801F47"/>
    <w:rsid w:val="00803287"/>
    <w:rsid w:val="00803ED3"/>
    <w:rsid w:val="0080407B"/>
    <w:rsid w:val="00804162"/>
    <w:rsid w:val="00804195"/>
    <w:rsid w:val="00804416"/>
    <w:rsid w:val="00804471"/>
    <w:rsid w:val="00804B9D"/>
    <w:rsid w:val="00805157"/>
    <w:rsid w:val="008053CE"/>
    <w:rsid w:val="00805BAE"/>
    <w:rsid w:val="00806F20"/>
    <w:rsid w:val="0080771F"/>
    <w:rsid w:val="00810010"/>
    <w:rsid w:val="00810595"/>
    <w:rsid w:val="008108D3"/>
    <w:rsid w:val="00810D6B"/>
    <w:rsid w:val="00811840"/>
    <w:rsid w:val="00811995"/>
    <w:rsid w:val="00811B41"/>
    <w:rsid w:val="00812A0B"/>
    <w:rsid w:val="0081389D"/>
    <w:rsid w:val="0081484F"/>
    <w:rsid w:val="008148FE"/>
    <w:rsid w:val="00814D78"/>
    <w:rsid w:val="00816A3D"/>
    <w:rsid w:val="0081734C"/>
    <w:rsid w:val="00817506"/>
    <w:rsid w:val="0082029A"/>
    <w:rsid w:val="00820BB0"/>
    <w:rsid w:val="008212A9"/>
    <w:rsid w:val="00821573"/>
    <w:rsid w:val="00821FB3"/>
    <w:rsid w:val="00822D58"/>
    <w:rsid w:val="0082317E"/>
    <w:rsid w:val="00823C06"/>
    <w:rsid w:val="008252BC"/>
    <w:rsid w:val="0082546F"/>
    <w:rsid w:val="00825AB3"/>
    <w:rsid w:val="00827110"/>
    <w:rsid w:val="008275B9"/>
    <w:rsid w:val="008318FD"/>
    <w:rsid w:val="00831B6F"/>
    <w:rsid w:val="00831D42"/>
    <w:rsid w:val="00832700"/>
    <w:rsid w:val="00832C60"/>
    <w:rsid w:val="008343B3"/>
    <w:rsid w:val="00834B17"/>
    <w:rsid w:val="00837CF4"/>
    <w:rsid w:val="008407F4"/>
    <w:rsid w:val="00840D37"/>
    <w:rsid w:val="00843A65"/>
    <w:rsid w:val="00843C5A"/>
    <w:rsid w:val="00844799"/>
    <w:rsid w:val="00844C84"/>
    <w:rsid w:val="00845A20"/>
    <w:rsid w:val="008463D7"/>
    <w:rsid w:val="0084685A"/>
    <w:rsid w:val="00846F6D"/>
    <w:rsid w:val="00847B5F"/>
    <w:rsid w:val="00851C87"/>
    <w:rsid w:val="00851E6F"/>
    <w:rsid w:val="00851F04"/>
    <w:rsid w:val="00852A6E"/>
    <w:rsid w:val="008533C4"/>
    <w:rsid w:val="00854319"/>
    <w:rsid w:val="008546C2"/>
    <w:rsid w:val="0085532D"/>
    <w:rsid w:val="008554F5"/>
    <w:rsid w:val="00855936"/>
    <w:rsid w:val="008573EF"/>
    <w:rsid w:val="00857571"/>
    <w:rsid w:val="0086108F"/>
    <w:rsid w:val="0086125B"/>
    <w:rsid w:val="0086208A"/>
    <w:rsid w:val="00863197"/>
    <w:rsid w:val="00863727"/>
    <w:rsid w:val="00863975"/>
    <w:rsid w:val="00863B00"/>
    <w:rsid w:val="00865553"/>
    <w:rsid w:val="008670C9"/>
    <w:rsid w:val="0087085F"/>
    <w:rsid w:val="00870AC5"/>
    <w:rsid w:val="00870CAD"/>
    <w:rsid w:val="00871AE9"/>
    <w:rsid w:val="00871C79"/>
    <w:rsid w:val="00872E8A"/>
    <w:rsid w:val="00873605"/>
    <w:rsid w:val="008755F9"/>
    <w:rsid w:val="0087596C"/>
    <w:rsid w:val="00875F32"/>
    <w:rsid w:val="00876744"/>
    <w:rsid w:val="00877743"/>
    <w:rsid w:val="00880152"/>
    <w:rsid w:val="00881023"/>
    <w:rsid w:val="00881F65"/>
    <w:rsid w:val="0088225C"/>
    <w:rsid w:val="00882410"/>
    <w:rsid w:val="0088245C"/>
    <w:rsid w:val="00882931"/>
    <w:rsid w:val="00882B19"/>
    <w:rsid w:val="00884572"/>
    <w:rsid w:val="00885621"/>
    <w:rsid w:val="00886375"/>
    <w:rsid w:val="00886651"/>
    <w:rsid w:val="00887A69"/>
    <w:rsid w:val="008904E6"/>
    <w:rsid w:val="008910FD"/>
    <w:rsid w:val="008915BA"/>
    <w:rsid w:val="0089195A"/>
    <w:rsid w:val="00892599"/>
    <w:rsid w:val="00892730"/>
    <w:rsid w:val="0089331F"/>
    <w:rsid w:val="008939EE"/>
    <w:rsid w:val="008943E4"/>
    <w:rsid w:val="00894430"/>
    <w:rsid w:val="008950AF"/>
    <w:rsid w:val="00895120"/>
    <w:rsid w:val="008952C7"/>
    <w:rsid w:val="00895F3E"/>
    <w:rsid w:val="0089644C"/>
    <w:rsid w:val="00897517"/>
    <w:rsid w:val="00897982"/>
    <w:rsid w:val="008A1082"/>
    <w:rsid w:val="008A13B2"/>
    <w:rsid w:val="008A15B7"/>
    <w:rsid w:val="008A4388"/>
    <w:rsid w:val="008A56CA"/>
    <w:rsid w:val="008A58B2"/>
    <w:rsid w:val="008A619E"/>
    <w:rsid w:val="008A629E"/>
    <w:rsid w:val="008A75AE"/>
    <w:rsid w:val="008B08A9"/>
    <w:rsid w:val="008B0C26"/>
    <w:rsid w:val="008B103A"/>
    <w:rsid w:val="008B2510"/>
    <w:rsid w:val="008B2773"/>
    <w:rsid w:val="008B4F47"/>
    <w:rsid w:val="008B5247"/>
    <w:rsid w:val="008B585F"/>
    <w:rsid w:val="008B5BDB"/>
    <w:rsid w:val="008C0765"/>
    <w:rsid w:val="008C3462"/>
    <w:rsid w:val="008C3483"/>
    <w:rsid w:val="008C3A95"/>
    <w:rsid w:val="008C3E28"/>
    <w:rsid w:val="008C3EEE"/>
    <w:rsid w:val="008C40F8"/>
    <w:rsid w:val="008C4123"/>
    <w:rsid w:val="008C4A62"/>
    <w:rsid w:val="008C5483"/>
    <w:rsid w:val="008C5FD3"/>
    <w:rsid w:val="008C62A0"/>
    <w:rsid w:val="008D0462"/>
    <w:rsid w:val="008D071D"/>
    <w:rsid w:val="008D07B1"/>
    <w:rsid w:val="008D1771"/>
    <w:rsid w:val="008D2920"/>
    <w:rsid w:val="008D2933"/>
    <w:rsid w:val="008D2FBA"/>
    <w:rsid w:val="008D319D"/>
    <w:rsid w:val="008D3942"/>
    <w:rsid w:val="008D39EA"/>
    <w:rsid w:val="008D3BAE"/>
    <w:rsid w:val="008D4926"/>
    <w:rsid w:val="008D4F88"/>
    <w:rsid w:val="008D58AF"/>
    <w:rsid w:val="008D6405"/>
    <w:rsid w:val="008D7EA4"/>
    <w:rsid w:val="008E1A76"/>
    <w:rsid w:val="008E1CE1"/>
    <w:rsid w:val="008E1F48"/>
    <w:rsid w:val="008E21D8"/>
    <w:rsid w:val="008E4294"/>
    <w:rsid w:val="008E523B"/>
    <w:rsid w:val="008E5CB4"/>
    <w:rsid w:val="008E6320"/>
    <w:rsid w:val="008E6BD2"/>
    <w:rsid w:val="008E6F4A"/>
    <w:rsid w:val="008F025F"/>
    <w:rsid w:val="008F124F"/>
    <w:rsid w:val="008F20DC"/>
    <w:rsid w:val="008F3403"/>
    <w:rsid w:val="008F3ACA"/>
    <w:rsid w:val="008F429C"/>
    <w:rsid w:val="008F56F3"/>
    <w:rsid w:val="008F68B6"/>
    <w:rsid w:val="008F7694"/>
    <w:rsid w:val="008F7D27"/>
    <w:rsid w:val="00900480"/>
    <w:rsid w:val="009018BE"/>
    <w:rsid w:val="00901E54"/>
    <w:rsid w:val="009025B0"/>
    <w:rsid w:val="00902A8A"/>
    <w:rsid w:val="009033F8"/>
    <w:rsid w:val="0090411C"/>
    <w:rsid w:val="00904657"/>
    <w:rsid w:val="00904896"/>
    <w:rsid w:val="00904A92"/>
    <w:rsid w:val="00905376"/>
    <w:rsid w:val="0090583F"/>
    <w:rsid w:val="0090706F"/>
    <w:rsid w:val="009072BA"/>
    <w:rsid w:val="00911813"/>
    <w:rsid w:val="00911B84"/>
    <w:rsid w:val="0091329F"/>
    <w:rsid w:val="009138C5"/>
    <w:rsid w:val="00913AA5"/>
    <w:rsid w:val="00913E45"/>
    <w:rsid w:val="009140DB"/>
    <w:rsid w:val="0091425C"/>
    <w:rsid w:val="00914A92"/>
    <w:rsid w:val="009174E4"/>
    <w:rsid w:val="00922B69"/>
    <w:rsid w:val="00923276"/>
    <w:rsid w:val="009232C7"/>
    <w:rsid w:val="0092361F"/>
    <w:rsid w:val="00925885"/>
    <w:rsid w:val="0092759A"/>
    <w:rsid w:val="00927D34"/>
    <w:rsid w:val="0093181C"/>
    <w:rsid w:val="009344CE"/>
    <w:rsid w:val="009349DC"/>
    <w:rsid w:val="009353BF"/>
    <w:rsid w:val="00936884"/>
    <w:rsid w:val="00937DDD"/>
    <w:rsid w:val="00937EA6"/>
    <w:rsid w:val="009401ED"/>
    <w:rsid w:val="00941A22"/>
    <w:rsid w:val="00941ED8"/>
    <w:rsid w:val="0094303A"/>
    <w:rsid w:val="009454B2"/>
    <w:rsid w:val="00945A72"/>
    <w:rsid w:val="0094607B"/>
    <w:rsid w:val="009461F6"/>
    <w:rsid w:val="00946768"/>
    <w:rsid w:val="009467EF"/>
    <w:rsid w:val="00946965"/>
    <w:rsid w:val="00946C6B"/>
    <w:rsid w:val="009479E8"/>
    <w:rsid w:val="009518C7"/>
    <w:rsid w:val="009531F9"/>
    <w:rsid w:val="00954266"/>
    <w:rsid w:val="00954AA3"/>
    <w:rsid w:val="00954F98"/>
    <w:rsid w:val="00955174"/>
    <w:rsid w:val="009553A2"/>
    <w:rsid w:val="00960687"/>
    <w:rsid w:val="009618A3"/>
    <w:rsid w:val="00961A4D"/>
    <w:rsid w:val="00961AA4"/>
    <w:rsid w:val="00964C1E"/>
    <w:rsid w:val="00964C92"/>
    <w:rsid w:val="00965284"/>
    <w:rsid w:val="00965650"/>
    <w:rsid w:val="00966498"/>
    <w:rsid w:val="00966D34"/>
    <w:rsid w:val="00966FB5"/>
    <w:rsid w:val="00971344"/>
    <w:rsid w:val="009723AB"/>
    <w:rsid w:val="0097243A"/>
    <w:rsid w:val="00972C5F"/>
    <w:rsid w:val="0097401E"/>
    <w:rsid w:val="00974F0A"/>
    <w:rsid w:val="00974F8E"/>
    <w:rsid w:val="00974FC1"/>
    <w:rsid w:val="00975079"/>
    <w:rsid w:val="009755B9"/>
    <w:rsid w:val="009766C0"/>
    <w:rsid w:val="00976B00"/>
    <w:rsid w:val="00976B73"/>
    <w:rsid w:val="00977346"/>
    <w:rsid w:val="0098378B"/>
    <w:rsid w:val="00983CD0"/>
    <w:rsid w:val="009858BF"/>
    <w:rsid w:val="009867F7"/>
    <w:rsid w:val="0099093C"/>
    <w:rsid w:val="0099219C"/>
    <w:rsid w:val="00992576"/>
    <w:rsid w:val="00992A92"/>
    <w:rsid w:val="0099343E"/>
    <w:rsid w:val="009939ED"/>
    <w:rsid w:val="009947C7"/>
    <w:rsid w:val="0099510D"/>
    <w:rsid w:val="00995E70"/>
    <w:rsid w:val="00996823"/>
    <w:rsid w:val="00996855"/>
    <w:rsid w:val="00997EC4"/>
    <w:rsid w:val="009A29DE"/>
    <w:rsid w:val="009A2F0F"/>
    <w:rsid w:val="009A308C"/>
    <w:rsid w:val="009A4469"/>
    <w:rsid w:val="009A633D"/>
    <w:rsid w:val="009A6849"/>
    <w:rsid w:val="009B1DB4"/>
    <w:rsid w:val="009B23D9"/>
    <w:rsid w:val="009B3738"/>
    <w:rsid w:val="009B5005"/>
    <w:rsid w:val="009B5F3E"/>
    <w:rsid w:val="009B69AC"/>
    <w:rsid w:val="009B7903"/>
    <w:rsid w:val="009B79FA"/>
    <w:rsid w:val="009C0AAB"/>
    <w:rsid w:val="009C12B7"/>
    <w:rsid w:val="009C1650"/>
    <w:rsid w:val="009C1A47"/>
    <w:rsid w:val="009C1AC8"/>
    <w:rsid w:val="009C33B3"/>
    <w:rsid w:val="009C35CD"/>
    <w:rsid w:val="009C42B7"/>
    <w:rsid w:val="009C437E"/>
    <w:rsid w:val="009C567D"/>
    <w:rsid w:val="009C5A64"/>
    <w:rsid w:val="009C6306"/>
    <w:rsid w:val="009C635E"/>
    <w:rsid w:val="009C6801"/>
    <w:rsid w:val="009C6A89"/>
    <w:rsid w:val="009C6D9F"/>
    <w:rsid w:val="009C77A9"/>
    <w:rsid w:val="009D0643"/>
    <w:rsid w:val="009D07AE"/>
    <w:rsid w:val="009D17DA"/>
    <w:rsid w:val="009D190A"/>
    <w:rsid w:val="009D251F"/>
    <w:rsid w:val="009D292A"/>
    <w:rsid w:val="009D58B3"/>
    <w:rsid w:val="009D77B2"/>
    <w:rsid w:val="009E1108"/>
    <w:rsid w:val="009E1849"/>
    <w:rsid w:val="009E2909"/>
    <w:rsid w:val="009E3218"/>
    <w:rsid w:val="009E36C4"/>
    <w:rsid w:val="009E5668"/>
    <w:rsid w:val="009E64E7"/>
    <w:rsid w:val="009E68DC"/>
    <w:rsid w:val="009E6DB0"/>
    <w:rsid w:val="009F01E7"/>
    <w:rsid w:val="009F18DE"/>
    <w:rsid w:val="009F22B0"/>
    <w:rsid w:val="009F36B1"/>
    <w:rsid w:val="009F44F2"/>
    <w:rsid w:val="009F45E4"/>
    <w:rsid w:val="009F4CB0"/>
    <w:rsid w:val="009F5299"/>
    <w:rsid w:val="009F5ADC"/>
    <w:rsid w:val="009F63A1"/>
    <w:rsid w:val="009F6AFE"/>
    <w:rsid w:val="009F73E3"/>
    <w:rsid w:val="009F7C80"/>
    <w:rsid w:val="009F7D6E"/>
    <w:rsid w:val="00A006FB"/>
    <w:rsid w:val="00A021C1"/>
    <w:rsid w:val="00A024A1"/>
    <w:rsid w:val="00A03DA7"/>
    <w:rsid w:val="00A04812"/>
    <w:rsid w:val="00A04C36"/>
    <w:rsid w:val="00A05A21"/>
    <w:rsid w:val="00A05BE1"/>
    <w:rsid w:val="00A0643B"/>
    <w:rsid w:val="00A12625"/>
    <w:rsid w:val="00A12B69"/>
    <w:rsid w:val="00A13EF4"/>
    <w:rsid w:val="00A14091"/>
    <w:rsid w:val="00A15B53"/>
    <w:rsid w:val="00A15D9F"/>
    <w:rsid w:val="00A16210"/>
    <w:rsid w:val="00A17185"/>
    <w:rsid w:val="00A17B0F"/>
    <w:rsid w:val="00A20460"/>
    <w:rsid w:val="00A21661"/>
    <w:rsid w:val="00A2179F"/>
    <w:rsid w:val="00A21C08"/>
    <w:rsid w:val="00A21DFC"/>
    <w:rsid w:val="00A21EBB"/>
    <w:rsid w:val="00A22633"/>
    <w:rsid w:val="00A2308E"/>
    <w:rsid w:val="00A23F2B"/>
    <w:rsid w:val="00A2417F"/>
    <w:rsid w:val="00A249D0"/>
    <w:rsid w:val="00A27A82"/>
    <w:rsid w:val="00A30F43"/>
    <w:rsid w:val="00A312BC"/>
    <w:rsid w:val="00A31B58"/>
    <w:rsid w:val="00A32448"/>
    <w:rsid w:val="00A32923"/>
    <w:rsid w:val="00A33196"/>
    <w:rsid w:val="00A3378B"/>
    <w:rsid w:val="00A34621"/>
    <w:rsid w:val="00A348D6"/>
    <w:rsid w:val="00A34E4D"/>
    <w:rsid w:val="00A3640B"/>
    <w:rsid w:val="00A37797"/>
    <w:rsid w:val="00A40CCA"/>
    <w:rsid w:val="00A4107C"/>
    <w:rsid w:val="00A414D0"/>
    <w:rsid w:val="00A416DA"/>
    <w:rsid w:val="00A42407"/>
    <w:rsid w:val="00A42683"/>
    <w:rsid w:val="00A433FE"/>
    <w:rsid w:val="00A43A10"/>
    <w:rsid w:val="00A44493"/>
    <w:rsid w:val="00A451F1"/>
    <w:rsid w:val="00A452D9"/>
    <w:rsid w:val="00A4551C"/>
    <w:rsid w:val="00A45AA2"/>
    <w:rsid w:val="00A4605F"/>
    <w:rsid w:val="00A47903"/>
    <w:rsid w:val="00A47C9F"/>
    <w:rsid w:val="00A5015B"/>
    <w:rsid w:val="00A509E5"/>
    <w:rsid w:val="00A537CD"/>
    <w:rsid w:val="00A54ACC"/>
    <w:rsid w:val="00A55AA8"/>
    <w:rsid w:val="00A5775F"/>
    <w:rsid w:val="00A57911"/>
    <w:rsid w:val="00A60896"/>
    <w:rsid w:val="00A60B63"/>
    <w:rsid w:val="00A612A2"/>
    <w:rsid w:val="00A61E1C"/>
    <w:rsid w:val="00A61E9F"/>
    <w:rsid w:val="00A636C4"/>
    <w:rsid w:val="00A640BF"/>
    <w:rsid w:val="00A64362"/>
    <w:rsid w:val="00A64A82"/>
    <w:rsid w:val="00A64E48"/>
    <w:rsid w:val="00A65405"/>
    <w:rsid w:val="00A657D6"/>
    <w:rsid w:val="00A66828"/>
    <w:rsid w:val="00A702B0"/>
    <w:rsid w:val="00A705D0"/>
    <w:rsid w:val="00A708B7"/>
    <w:rsid w:val="00A71B7F"/>
    <w:rsid w:val="00A726A3"/>
    <w:rsid w:val="00A72EC4"/>
    <w:rsid w:val="00A72F6D"/>
    <w:rsid w:val="00A72F90"/>
    <w:rsid w:val="00A7322C"/>
    <w:rsid w:val="00A7518F"/>
    <w:rsid w:val="00A7537A"/>
    <w:rsid w:val="00A7546F"/>
    <w:rsid w:val="00A756DC"/>
    <w:rsid w:val="00A75879"/>
    <w:rsid w:val="00A76DDB"/>
    <w:rsid w:val="00A772AC"/>
    <w:rsid w:val="00A801AA"/>
    <w:rsid w:val="00A80A29"/>
    <w:rsid w:val="00A80E15"/>
    <w:rsid w:val="00A82237"/>
    <w:rsid w:val="00A82282"/>
    <w:rsid w:val="00A8275E"/>
    <w:rsid w:val="00A82B82"/>
    <w:rsid w:val="00A84BB9"/>
    <w:rsid w:val="00A85EDB"/>
    <w:rsid w:val="00A87CC8"/>
    <w:rsid w:val="00A903CB"/>
    <w:rsid w:val="00A90989"/>
    <w:rsid w:val="00A90B2C"/>
    <w:rsid w:val="00A92282"/>
    <w:rsid w:val="00A934C0"/>
    <w:rsid w:val="00A936D4"/>
    <w:rsid w:val="00A94498"/>
    <w:rsid w:val="00A94DC0"/>
    <w:rsid w:val="00A97341"/>
    <w:rsid w:val="00A97424"/>
    <w:rsid w:val="00A97C4D"/>
    <w:rsid w:val="00AA023C"/>
    <w:rsid w:val="00AA0333"/>
    <w:rsid w:val="00AA2775"/>
    <w:rsid w:val="00AA3276"/>
    <w:rsid w:val="00AA3570"/>
    <w:rsid w:val="00AA35C9"/>
    <w:rsid w:val="00AA3A91"/>
    <w:rsid w:val="00AA460B"/>
    <w:rsid w:val="00AA46C1"/>
    <w:rsid w:val="00AA490E"/>
    <w:rsid w:val="00AA530A"/>
    <w:rsid w:val="00AA6E1C"/>
    <w:rsid w:val="00AB18D4"/>
    <w:rsid w:val="00AB3627"/>
    <w:rsid w:val="00AB3E86"/>
    <w:rsid w:val="00AB4205"/>
    <w:rsid w:val="00AB4672"/>
    <w:rsid w:val="00AB4688"/>
    <w:rsid w:val="00AB5B24"/>
    <w:rsid w:val="00AB5DE8"/>
    <w:rsid w:val="00AB5FEB"/>
    <w:rsid w:val="00AB60C8"/>
    <w:rsid w:val="00AB7629"/>
    <w:rsid w:val="00AC0F28"/>
    <w:rsid w:val="00AC1037"/>
    <w:rsid w:val="00AC148D"/>
    <w:rsid w:val="00AC3712"/>
    <w:rsid w:val="00AC37B1"/>
    <w:rsid w:val="00AC3869"/>
    <w:rsid w:val="00AC4098"/>
    <w:rsid w:val="00AC43D6"/>
    <w:rsid w:val="00AC4C5C"/>
    <w:rsid w:val="00AC5DDA"/>
    <w:rsid w:val="00AC6031"/>
    <w:rsid w:val="00AC6DB0"/>
    <w:rsid w:val="00AC7518"/>
    <w:rsid w:val="00AC7CE1"/>
    <w:rsid w:val="00AD116F"/>
    <w:rsid w:val="00AD17BF"/>
    <w:rsid w:val="00AD2B91"/>
    <w:rsid w:val="00AD2BAA"/>
    <w:rsid w:val="00AD2CE0"/>
    <w:rsid w:val="00AD3620"/>
    <w:rsid w:val="00AD3A17"/>
    <w:rsid w:val="00AD3A80"/>
    <w:rsid w:val="00AD3B9A"/>
    <w:rsid w:val="00AD5070"/>
    <w:rsid w:val="00AD6644"/>
    <w:rsid w:val="00AD74C2"/>
    <w:rsid w:val="00AD7601"/>
    <w:rsid w:val="00AE02CE"/>
    <w:rsid w:val="00AE0C8E"/>
    <w:rsid w:val="00AE0F93"/>
    <w:rsid w:val="00AE1483"/>
    <w:rsid w:val="00AE20BD"/>
    <w:rsid w:val="00AE2CD5"/>
    <w:rsid w:val="00AE57C6"/>
    <w:rsid w:val="00AE5E60"/>
    <w:rsid w:val="00AE6D5D"/>
    <w:rsid w:val="00AE7D95"/>
    <w:rsid w:val="00AF02C1"/>
    <w:rsid w:val="00AF0742"/>
    <w:rsid w:val="00AF077F"/>
    <w:rsid w:val="00AF1677"/>
    <w:rsid w:val="00AF1689"/>
    <w:rsid w:val="00AF1FAF"/>
    <w:rsid w:val="00AF2E78"/>
    <w:rsid w:val="00AF42C7"/>
    <w:rsid w:val="00AF5718"/>
    <w:rsid w:val="00AF5A3C"/>
    <w:rsid w:val="00AF5A7C"/>
    <w:rsid w:val="00AF5AD5"/>
    <w:rsid w:val="00AF6025"/>
    <w:rsid w:val="00AF6740"/>
    <w:rsid w:val="00AF6BB8"/>
    <w:rsid w:val="00AF701D"/>
    <w:rsid w:val="00B002E2"/>
    <w:rsid w:val="00B0083C"/>
    <w:rsid w:val="00B01111"/>
    <w:rsid w:val="00B01167"/>
    <w:rsid w:val="00B01AFB"/>
    <w:rsid w:val="00B01BDC"/>
    <w:rsid w:val="00B02035"/>
    <w:rsid w:val="00B02A2B"/>
    <w:rsid w:val="00B03248"/>
    <w:rsid w:val="00B06601"/>
    <w:rsid w:val="00B07F6F"/>
    <w:rsid w:val="00B1092E"/>
    <w:rsid w:val="00B110A7"/>
    <w:rsid w:val="00B1163B"/>
    <w:rsid w:val="00B130E2"/>
    <w:rsid w:val="00B14D41"/>
    <w:rsid w:val="00B151DF"/>
    <w:rsid w:val="00B20113"/>
    <w:rsid w:val="00B2065B"/>
    <w:rsid w:val="00B207AD"/>
    <w:rsid w:val="00B2098B"/>
    <w:rsid w:val="00B21D79"/>
    <w:rsid w:val="00B21DEA"/>
    <w:rsid w:val="00B21F74"/>
    <w:rsid w:val="00B23107"/>
    <w:rsid w:val="00B23359"/>
    <w:rsid w:val="00B2505F"/>
    <w:rsid w:val="00B25098"/>
    <w:rsid w:val="00B2697F"/>
    <w:rsid w:val="00B27335"/>
    <w:rsid w:val="00B27F2B"/>
    <w:rsid w:val="00B300F8"/>
    <w:rsid w:val="00B3067B"/>
    <w:rsid w:val="00B3079D"/>
    <w:rsid w:val="00B3094E"/>
    <w:rsid w:val="00B3154A"/>
    <w:rsid w:val="00B31AC8"/>
    <w:rsid w:val="00B330F6"/>
    <w:rsid w:val="00B34203"/>
    <w:rsid w:val="00B34572"/>
    <w:rsid w:val="00B348F7"/>
    <w:rsid w:val="00B34BA2"/>
    <w:rsid w:val="00B3507F"/>
    <w:rsid w:val="00B37253"/>
    <w:rsid w:val="00B406E9"/>
    <w:rsid w:val="00B412F7"/>
    <w:rsid w:val="00B424DF"/>
    <w:rsid w:val="00B433F4"/>
    <w:rsid w:val="00B43AB6"/>
    <w:rsid w:val="00B43D31"/>
    <w:rsid w:val="00B43F38"/>
    <w:rsid w:val="00B441B2"/>
    <w:rsid w:val="00B443C5"/>
    <w:rsid w:val="00B4513B"/>
    <w:rsid w:val="00B451BC"/>
    <w:rsid w:val="00B463FE"/>
    <w:rsid w:val="00B4754B"/>
    <w:rsid w:val="00B476AA"/>
    <w:rsid w:val="00B50265"/>
    <w:rsid w:val="00B50BAC"/>
    <w:rsid w:val="00B5107D"/>
    <w:rsid w:val="00B51284"/>
    <w:rsid w:val="00B519C5"/>
    <w:rsid w:val="00B531C3"/>
    <w:rsid w:val="00B53A07"/>
    <w:rsid w:val="00B5466F"/>
    <w:rsid w:val="00B55126"/>
    <w:rsid w:val="00B551DA"/>
    <w:rsid w:val="00B5533E"/>
    <w:rsid w:val="00B555CA"/>
    <w:rsid w:val="00B55B05"/>
    <w:rsid w:val="00B573C7"/>
    <w:rsid w:val="00B577C5"/>
    <w:rsid w:val="00B60A6F"/>
    <w:rsid w:val="00B60E4F"/>
    <w:rsid w:val="00B61197"/>
    <w:rsid w:val="00B6175A"/>
    <w:rsid w:val="00B62C0C"/>
    <w:rsid w:val="00B62C59"/>
    <w:rsid w:val="00B62CFD"/>
    <w:rsid w:val="00B64334"/>
    <w:rsid w:val="00B6584F"/>
    <w:rsid w:val="00B65F94"/>
    <w:rsid w:val="00B66498"/>
    <w:rsid w:val="00B67D26"/>
    <w:rsid w:val="00B71734"/>
    <w:rsid w:val="00B71859"/>
    <w:rsid w:val="00B733AC"/>
    <w:rsid w:val="00B742A1"/>
    <w:rsid w:val="00B754DE"/>
    <w:rsid w:val="00B76806"/>
    <w:rsid w:val="00B84014"/>
    <w:rsid w:val="00B84A70"/>
    <w:rsid w:val="00B84DE6"/>
    <w:rsid w:val="00B864F5"/>
    <w:rsid w:val="00B86DE2"/>
    <w:rsid w:val="00B87D27"/>
    <w:rsid w:val="00B87EC7"/>
    <w:rsid w:val="00B9038A"/>
    <w:rsid w:val="00B90B19"/>
    <w:rsid w:val="00B91592"/>
    <w:rsid w:val="00B91EC8"/>
    <w:rsid w:val="00B93A32"/>
    <w:rsid w:val="00B94686"/>
    <w:rsid w:val="00B94850"/>
    <w:rsid w:val="00B94F21"/>
    <w:rsid w:val="00B96A91"/>
    <w:rsid w:val="00B9786C"/>
    <w:rsid w:val="00B97E68"/>
    <w:rsid w:val="00B97FA5"/>
    <w:rsid w:val="00BA11CB"/>
    <w:rsid w:val="00BA17C8"/>
    <w:rsid w:val="00BA201F"/>
    <w:rsid w:val="00BA2547"/>
    <w:rsid w:val="00BA382F"/>
    <w:rsid w:val="00BA52B9"/>
    <w:rsid w:val="00BA7B15"/>
    <w:rsid w:val="00BA7B9E"/>
    <w:rsid w:val="00BA7F48"/>
    <w:rsid w:val="00BB26FB"/>
    <w:rsid w:val="00BB26FE"/>
    <w:rsid w:val="00BB286A"/>
    <w:rsid w:val="00BB298A"/>
    <w:rsid w:val="00BB339A"/>
    <w:rsid w:val="00BB3736"/>
    <w:rsid w:val="00BB3DFB"/>
    <w:rsid w:val="00BB41C2"/>
    <w:rsid w:val="00BB4630"/>
    <w:rsid w:val="00BB6D60"/>
    <w:rsid w:val="00BB7238"/>
    <w:rsid w:val="00BB7976"/>
    <w:rsid w:val="00BC2066"/>
    <w:rsid w:val="00BC39C9"/>
    <w:rsid w:val="00BC4A60"/>
    <w:rsid w:val="00BC4FE0"/>
    <w:rsid w:val="00BC504B"/>
    <w:rsid w:val="00BC53E8"/>
    <w:rsid w:val="00BC5FE1"/>
    <w:rsid w:val="00BC6074"/>
    <w:rsid w:val="00BC6401"/>
    <w:rsid w:val="00BC7390"/>
    <w:rsid w:val="00BC786F"/>
    <w:rsid w:val="00BD0C59"/>
    <w:rsid w:val="00BD1A40"/>
    <w:rsid w:val="00BD306F"/>
    <w:rsid w:val="00BD31AB"/>
    <w:rsid w:val="00BD34AC"/>
    <w:rsid w:val="00BD3927"/>
    <w:rsid w:val="00BD5C8D"/>
    <w:rsid w:val="00BD5D62"/>
    <w:rsid w:val="00BD60D0"/>
    <w:rsid w:val="00BD697C"/>
    <w:rsid w:val="00BE13A4"/>
    <w:rsid w:val="00BE1695"/>
    <w:rsid w:val="00BE2231"/>
    <w:rsid w:val="00BE27F0"/>
    <w:rsid w:val="00BE302C"/>
    <w:rsid w:val="00BE346E"/>
    <w:rsid w:val="00BE38CE"/>
    <w:rsid w:val="00BE5250"/>
    <w:rsid w:val="00BE5E4E"/>
    <w:rsid w:val="00BE6DA8"/>
    <w:rsid w:val="00BE72F1"/>
    <w:rsid w:val="00BF006D"/>
    <w:rsid w:val="00BF024A"/>
    <w:rsid w:val="00BF17AB"/>
    <w:rsid w:val="00BF1E4F"/>
    <w:rsid w:val="00BF208F"/>
    <w:rsid w:val="00BF2D66"/>
    <w:rsid w:val="00BF2D96"/>
    <w:rsid w:val="00BF2DE0"/>
    <w:rsid w:val="00BF333C"/>
    <w:rsid w:val="00BF33D7"/>
    <w:rsid w:val="00BF43F7"/>
    <w:rsid w:val="00BF5694"/>
    <w:rsid w:val="00BF7191"/>
    <w:rsid w:val="00BF7CA2"/>
    <w:rsid w:val="00C019AD"/>
    <w:rsid w:val="00C01A9E"/>
    <w:rsid w:val="00C01E44"/>
    <w:rsid w:val="00C02F78"/>
    <w:rsid w:val="00C04988"/>
    <w:rsid w:val="00C056A2"/>
    <w:rsid w:val="00C05CAA"/>
    <w:rsid w:val="00C0766D"/>
    <w:rsid w:val="00C07826"/>
    <w:rsid w:val="00C07BAF"/>
    <w:rsid w:val="00C1000A"/>
    <w:rsid w:val="00C10AAA"/>
    <w:rsid w:val="00C114FD"/>
    <w:rsid w:val="00C13112"/>
    <w:rsid w:val="00C16692"/>
    <w:rsid w:val="00C16DDF"/>
    <w:rsid w:val="00C20646"/>
    <w:rsid w:val="00C20703"/>
    <w:rsid w:val="00C20EA2"/>
    <w:rsid w:val="00C2389B"/>
    <w:rsid w:val="00C241F1"/>
    <w:rsid w:val="00C2425D"/>
    <w:rsid w:val="00C242EA"/>
    <w:rsid w:val="00C2497D"/>
    <w:rsid w:val="00C24E03"/>
    <w:rsid w:val="00C24E67"/>
    <w:rsid w:val="00C2533A"/>
    <w:rsid w:val="00C25BFC"/>
    <w:rsid w:val="00C25C7D"/>
    <w:rsid w:val="00C26DA3"/>
    <w:rsid w:val="00C26EC5"/>
    <w:rsid w:val="00C27ED3"/>
    <w:rsid w:val="00C32BB4"/>
    <w:rsid w:val="00C34038"/>
    <w:rsid w:val="00C3542C"/>
    <w:rsid w:val="00C36F7B"/>
    <w:rsid w:val="00C3794E"/>
    <w:rsid w:val="00C40C8E"/>
    <w:rsid w:val="00C41AE3"/>
    <w:rsid w:val="00C421F0"/>
    <w:rsid w:val="00C42FBF"/>
    <w:rsid w:val="00C43F02"/>
    <w:rsid w:val="00C43F07"/>
    <w:rsid w:val="00C4554E"/>
    <w:rsid w:val="00C45B3B"/>
    <w:rsid w:val="00C46599"/>
    <w:rsid w:val="00C4702B"/>
    <w:rsid w:val="00C5061B"/>
    <w:rsid w:val="00C50C09"/>
    <w:rsid w:val="00C50F73"/>
    <w:rsid w:val="00C5282F"/>
    <w:rsid w:val="00C53A06"/>
    <w:rsid w:val="00C53E85"/>
    <w:rsid w:val="00C54575"/>
    <w:rsid w:val="00C54CA8"/>
    <w:rsid w:val="00C57BB6"/>
    <w:rsid w:val="00C62A66"/>
    <w:rsid w:val="00C62B13"/>
    <w:rsid w:val="00C62D76"/>
    <w:rsid w:val="00C66DD2"/>
    <w:rsid w:val="00C67E8A"/>
    <w:rsid w:val="00C7065F"/>
    <w:rsid w:val="00C71427"/>
    <w:rsid w:val="00C72447"/>
    <w:rsid w:val="00C7320D"/>
    <w:rsid w:val="00C7324B"/>
    <w:rsid w:val="00C739EC"/>
    <w:rsid w:val="00C73EF9"/>
    <w:rsid w:val="00C741B9"/>
    <w:rsid w:val="00C749B2"/>
    <w:rsid w:val="00C7570F"/>
    <w:rsid w:val="00C7573E"/>
    <w:rsid w:val="00C764E1"/>
    <w:rsid w:val="00C76D5C"/>
    <w:rsid w:val="00C76FCC"/>
    <w:rsid w:val="00C77098"/>
    <w:rsid w:val="00C8261B"/>
    <w:rsid w:val="00C83CCB"/>
    <w:rsid w:val="00C840EB"/>
    <w:rsid w:val="00C84110"/>
    <w:rsid w:val="00C8425A"/>
    <w:rsid w:val="00C84F8C"/>
    <w:rsid w:val="00C85BF7"/>
    <w:rsid w:val="00C86D29"/>
    <w:rsid w:val="00C87498"/>
    <w:rsid w:val="00C90BA8"/>
    <w:rsid w:val="00C92344"/>
    <w:rsid w:val="00C92431"/>
    <w:rsid w:val="00C9248C"/>
    <w:rsid w:val="00C92A3A"/>
    <w:rsid w:val="00C93BAD"/>
    <w:rsid w:val="00C94B6B"/>
    <w:rsid w:val="00C94C32"/>
    <w:rsid w:val="00C9621C"/>
    <w:rsid w:val="00C97182"/>
    <w:rsid w:val="00C978C3"/>
    <w:rsid w:val="00CA23C3"/>
    <w:rsid w:val="00CA295E"/>
    <w:rsid w:val="00CA296D"/>
    <w:rsid w:val="00CA2E38"/>
    <w:rsid w:val="00CA3044"/>
    <w:rsid w:val="00CA4392"/>
    <w:rsid w:val="00CB0F48"/>
    <w:rsid w:val="00CB1419"/>
    <w:rsid w:val="00CB166A"/>
    <w:rsid w:val="00CB1F7F"/>
    <w:rsid w:val="00CB1FE6"/>
    <w:rsid w:val="00CB4730"/>
    <w:rsid w:val="00CB54E5"/>
    <w:rsid w:val="00CB5515"/>
    <w:rsid w:val="00CB57D0"/>
    <w:rsid w:val="00CB5A80"/>
    <w:rsid w:val="00CB5D7B"/>
    <w:rsid w:val="00CB7830"/>
    <w:rsid w:val="00CC0CBE"/>
    <w:rsid w:val="00CC1612"/>
    <w:rsid w:val="00CC1804"/>
    <w:rsid w:val="00CC1ADD"/>
    <w:rsid w:val="00CC1BF7"/>
    <w:rsid w:val="00CC2070"/>
    <w:rsid w:val="00CC26AA"/>
    <w:rsid w:val="00CC2E0D"/>
    <w:rsid w:val="00CC3637"/>
    <w:rsid w:val="00CC3D91"/>
    <w:rsid w:val="00CC3E3A"/>
    <w:rsid w:val="00CC5191"/>
    <w:rsid w:val="00CC61D1"/>
    <w:rsid w:val="00CC6E65"/>
    <w:rsid w:val="00CC7E3E"/>
    <w:rsid w:val="00CD01B5"/>
    <w:rsid w:val="00CD0372"/>
    <w:rsid w:val="00CD0F30"/>
    <w:rsid w:val="00CD125A"/>
    <w:rsid w:val="00CD148C"/>
    <w:rsid w:val="00CD2F6F"/>
    <w:rsid w:val="00CD4609"/>
    <w:rsid w:val="00CD5B2D"/>
    <w:rsid w:val="00CD67CA"/>
    <w:rsid w:val="00CD768A"/>
    <w:rsid w:val="00CE001B"/>
    <w:rsid w:val="00CE0D03"/>
    <w:rsid w:val="00CE1617"/>
    <w:rsid w:val="00CE1C00"/>
    <w:rsid w:val="00CE1F3D"/>
    <w:rsid w:val="00CE4680"/>
    <w:rsid w:val="00CE591C"/>
    <w:rsid w:val="00CE6ABD"/>
    <w:rsid w:val="00CE6D76"/>
    <w:rsid w:val="00CF03C9"/>
    <w:rsid w:val="00CF0990"/>
    <w:rsid w:val="00CF14E4"/>
    <w:rsid w:val="00CF1AD6"/>
    <w:rsid w:val="00CF1BB0"/>
    <w:rsid w:val="00CF2681"/>
    <w:rsid w:val="00CF280E"/>
    <w:rsid w:val="00CF28FD"/>
    <w:rsid w:val="00CF321F"/>
    <w:rsid w:val="00CF35E0"/>
    <w:rsid w:val="00CF3873"/>
    <w:rsid w:val="00CF505D"/>
    <w:rsid w:val="00CF5194"/>
    <w:rsid w:val="00CF5D1A"/>
    <w:rsid w:val="00CF5DBF"/>
    <w:rsid w:val="00CF7670"/>
    <w:rsid w:val="00CF7B18"/>
    <w:rsid w:val="00D0049D"/>
    <w:rsid w:val="00D02061"/>
    <w:rsid w:val="00D022E5"/>
    <w:rsid w:val="00D02BFB"/>
    <w:rsid w:val="00D03AA1"/>
    <w:rsid w:val="00D04FAB"/>
    <w:rsid w:val="00D053A6"/>
    <w:rsid w:val="00D05E72"/>
    <w:rsid w:val="00D06F34"/>
    <w:rsid w:val="00D07270"/>
    <w:rsid w:val="00D073F4"/>
    <w:rsid w:val="00D10B75"/>
    <w:rsid w:val="00D10D13"/>
    <w:rsid w:val="00D10E13"/>
    <w:rsid w:val="00D11366"/>
    <w:rsid w:val="00D11FBB"/>
    <w:rsid w:val="00D12672"/>
    <w:rsid w:val="00D15AD6"/>
    <w:rsid w:val="00D160F3"/>
    <w:rsid w:val="00D165B6"/>
    <w:rsid w:val="00D2069E"/>
    <w:rsid w:val="00D2265D"/>
    <w:rsid w:val="00D23B49"/>
    <w:rsid w:val="00D24AAC"/>
    <w:rsid w:val="00D25D78"/>
    <w:rsid w:val="00D27410"/>
    <w:rsid w:val="00D27924"/>
    <w:rsid w:val="00D27B9D"/>
    <w:rsid w:val="00D27ED5"/>
    <w:rsid w:val="00D30131"/>
    <w:rsid w:val="00D3163D"/>
    <w:rsid w:val="00D317B7"/>
    <w:rsid w:val="00D32446"/>
    <w:rsid w:val="00D3274F"/>
    <w:rsid w:val="00D33076"/>
    <w:rsid w:val="00D340A1"/>
    <w:rsid w:val="00D35B14"/>
    <w:rsid w:val="00D4072A"/>
    <w:rsid w:val="00D40786"/>
    <w:rsid w:val="00D40DE8"/>
    <w:rsid w:val="00D432DC"/>
    <w:rsid w:val="00D43B2B"/>
    <w:rsid w:val="00D43EC0"/>
    <w:rsid w:val="00D44736"/>
    <w:rsid w:val="00D45822"/>
    <w:rsid w:val="00D46A14"/>
    <w:rsid w:val="00D46DD5"/>
    <w:rsid w:val="00D472D6"/>
    <w:rsid w:val="00D474CE"/>
    <w:rsid w:val="00D502C5"/>
    <w:rsid w:val="00D5133B"/>
    <w:rsid w:val="00D51E4D"/>
    <w:rsid w:val="00D51E8E"/>
    <w:rsid w:val="00D522EA"/>
    <w:rsid w:val="00D52729"/>
    <w:rsid w:val="00D5382D"/>
    <w:rsid w:val="00D54078"/>
    <w:rsid w:val="00D55379"/>
    <w:rsid w:val="00D55D49"/>
    <w:rsid w:val="00D55D7B"/>
    <w:rsid w:val="00D55D82"/>
    <w:rsid w:val="00D566B5"/>
    <w:rsid w:val="00D568AA"/>
    <w:rsid w:val="00D56F67"/>
    <w:rsid w:val="00D57E9E"/>
    <w:rsid w:val="00D6070F"/>
    <w:rsid w:val="00D61BA4"/>
    <w:rsid w:val="00D61CC9"/>
    <w:rsid w:val="00D61F3B"/>
    <w:rsid w:val="00D62534"/>
    <w:rsid w:val="00D64622"/>
    <w:rsid w:val="00D651CA"/>
    <w:rsid w:val="00D652F7"/>
    <w:rsid w:val="00D65FAF"/>
    <w:rsid w:val="00D65FF5"/>
    <w:rsid w:val="00D667B7"/>
    <w:rsid w:val="00D677F0"/>
    <w:rsid w:val="00D67D53"/>
    <w:rsid w:val="00D67DC1"/>
    <w:rsid w:val="00D7115B"/>
    <w:rsid w:val="00D7167F"/>
    <w:rsid w:val="00D72B03"/>
    <w:rsid w:val="00D75751"/>
    <w:rsid w:val="00D75CB1"/>
    <w:rsid w:val="00D768BD"/>
    <w:rsid w:val="00D7744C"/>
    <w:rsid w:val="00D77687"/>
    <w:rsid w:val="00D811BE"/>
    <w:rsid w:val="00D845A3"/>
    <w:rsid w:val="00D84A29"/>
    <w:rsid w:val="00D86CD9"/>
    <w:rsid w:val="00D87299"/>
    <w:rsid w:val="00D902DE"/>
    <w:rsid w:val="00D90B24"/>
    <w:rsid w:val="00D90D38"/>
    <w:rsid w:val="00D912C1"/>
    <w:rsid w:val="00D91581"/>
    <w:rsid w:val="00D91855"/>
    <w:rsid w:val="00D91D5D"/>
    <w:rsid w:val="00D9221B"/>
    <w:rsid w:val="00D922A8"/>
    <w:rsid w:val="00D927DB"/>
    <w:rsid w:val="00D93A59"/>
    <w:rsid w:val="00D949D1"/>
    <w:rsid w:val="00D94F23"/>
    <w:rsid w:val="00D95D93"/>
    <w:rsid w:val="00D95EE4"/>
    <w:rsid w:val="00D962B6"/>
    <w:rsid w:val="00D96BD3"/>
    <w:rsid w:val="00D96D1B"/>
    <w:rsid w:val="00D9714A"/>
    <w:rsid w:val="00D97CBE"/>
    <w:rsid w:val="00DA0D61"/>
    <w:rsid w:val="00DA0F80"/>
    <w:rsid w:val="00DA2D5C"/>
    <w:rsid w:val="00DA4756"/>
    <w:rsid w:val="00DA4992"/>
    <w:rsid w:val="00DA4B81"/>
    <w:rsid w:val="00DA54FA"/>
    <w:rsid w:val="00DA59A3"/>
    <w:rsid w:val="00DB06C6"/>
    <w:rsid w:val="00DB188B"/>
    <w:rsid w:val="00DB1BFE"/>
    <w:rsid w:val="00DB23EC"/>
    <w:rsid w:val="00DB2934"/>
    <w:rsid w:val="00DB31A2"/>
    <w:rsid w:val="00DB360F"/>
    <w:rsid w:val="00DB39C9"/>
    <w:rsid w:val="00DB3B9E"/>
    <w:rsid w:val="00DB3E9A"/>
    <w:rsid w:val="00DB4899"/>
    <w:rsid w:val="00DB4DCF"/>
    <w:rsid w:val="00DB54BF"/>
    <w:rsid w:val="00DB5FCE"/>
    <w:rsid w:val="00DB69C5"/>
    <w:rsid w:val="00DB71A5"/>
    <w:rsid w:val="00DB7E26"/>
    <w:rsid w:val="00DB7F31"/>
    <w:rsid w:val="00DC048D"/>
    <w:rsid w:val="00DC04F6"/>
    <w:rsid w:val="00DC085F"/>
    <w:rsid w:val="00DC0B68"/>
    <w:rsid w:val="00DC1792"/>
    <w:rsid w:val="00DC193A"/>
    <w:rsid w:val="00DC1A5A"/>
    <w:rsid w:val="00DC1CCB"/>
    <w:rsid w:val="00DC2E68"/>
    <w:rsid w:val="00DC3A2C"/>
    <w:rsid w:val="00DC3CF6"/>
    <w:rsid w:val="00DC4D48"/>
    <w:rsid w:val="00DC5443"/>
    <w:rsid w:val="00DC5C38"/>
    <w:rsid w:val="00DC6C28"/>
    <w:rsid w:val="00DC6E4F"/>
    <w:rsid w:val="00DC79C8"/>
    <w:rsid w:val="00DC7A4F"/>
    <w:rsid w:val="00DD0259"/>
    <w:rsid w:val="00DD030C"/>
    <w:rsid w:val="00DD046A"/>
    <w:rsid w:val="00DD0A89"/>
    <w:rsid w:val="00DD12A5"/>
    <w:rsid w:val="00DD34AD"/>
    <w:rsid w:val="00DD3FD4"/>
    <w:rsid w:val="00DD58F5"/>
    <w:rsid w:val="00DD6A3D"/>
    <w:rsid w:val="00DE3733"/>
    <w:rsid w:val="00DE38EE"/>
    <w:rsid w:val="00DE42BC"/>
    <w:rsid w:val="00DE4D1C"/>
    <w:rsid w:val="00DE5425"/>
    <w:rsid w:val="00DE67F0"/>
    <w:rsid w:val="00DE710B"/>
    <w:rsid w:val="00DE731A"/>
    <w:rsid w:val="00DF059A"/>
    <w:rsid w:val="00DF07A3"/>
    <w:rsid w:val="00DF0A7C"/>
    <w:rsid w:val="00DF2E94"/>
    <w:rsid w:val="00DF30F2"/>
    <w:rsid w:val="00DF3C53"/>
    <w:rsid w:val="00DF3E95"/>
    <w:rsid w:val="00DF4990"/>
    <w:rsid w:val="00DF5516"/>
    <w:rsid w:val="00DF5D18"/>
    <w:rsid w:val="00DF63AF"/>
    <w:rsid w:val="00DF6A9E"/>
    <w:rsid w:val="00DF7060"/>
    <w:rsid w:val="00E00163"/>
    <w:rsid w:val="00E006A1"/>
    <w:rsid w:val="00E01682"/>
    <w:rsid w:val="00E01DFD"/>
    <w:rsid w:val="00E0328E"/>
    <w:rsid w:val="00E05938"/>
    <w:rsid w:val="00E05ACE"/>
    <w:rsid w:val="00E05D2E"/>
    <w:rsid w:val="00E06804"/>
    <w:rsid w:val="00E07D90"/>
    <w:rsid w:val="00E07D9B"/>
    <w:rsid w:val="00E11186"/>
    <w:rsid w:val="00E11DCC"/>
    <w:rsid w:val="00E14144"/>
    <w:rsid w:val="00E14F07"/>
    <w:rsid w:val="00E15584"/>
    <w:rsid w:val="00E15682"/>
    <w:rsid w:val="00E15A37"/>
    <w:rsid w:val="00E1668F"/>
    <w:rsid w:val="00E1710A"/>
    <w:rsid w:val="00E17989"/>
    <w:rsid w:val="00E17A2A"/>
    <w:rsid w:val="00E17D34"/>
    <w:rsid w:val="00E201E8"/>
    <w:rsid w:val="00E20C51"/>
    <w:rsid w:val="00E222E9"/>
    <w:rsid w:val="00E22AAB"/>
    <w:rsid w:val="00E234F2"/>
    <w:rsid w:val="00E2415E"/>
    <w:rsid w:val="00E2481B"/>
    <w:rsid w:val="00E27978"/>
    <w:rsid w:val="00E27B5A"/>
    <w:rsid w:val="00E30039"/>
    <w:rsid w:val="00E30425"/>
    <w:rsid w:val="00E307D1"/>
    <w:rsid w:val="00E31335"/>
    <w:rsid w:val="00E32621"/>
    <w:rsid w:val="00E352E5"/>
    <w:rsid w:val="00E37769"/>
    <w:rsid w:val="00E40FB0"/>
    <w:rsid w:val="00E416B0"/>
    <w:rsid w:val="00E42100"/>
    <w:rsid w:val="00E43280"/>
    <w:rsid w:val="00E43A37"/>
    <w:rsid w:val="00E43B0C"/>
    <w:rsid w:val="00E4432E"/>
    <w:rsid w:val="00E4489C"/>
    <w:rsid w:val="00E44BFF"/>
    <w:rsid w:val="00E4593D"/>
    <w:rsid w:val="00E468FE"/>
    <w:rsid w:val="00E476A9"/>
    <w:rsid w:val="00E476DE"/>
    <w:rsid w:val="00E50863"/>
    <w:rsid w:val="00E50A55"/>
    <w:rsid w:val="00E52775"/>
    <w:rsid w:val="00E53B18"/>
    <w:rsid w:val="00E56707"/>
    <w:rsid w:val="00E61AA5"/>
    <w:rsid w:val="00E6215E"/>
    <w:rsid w:val="00E63785"/>
    <w:rsid w:val="00E64291"/>
    <w:rsid w:val="00E643BF"/>
    <w:rsid w:val="00E64E50"/>
    <w:rsid w:val="00E65177"/>
    <w:rsid w:val="00E660D8"/>
    <w:rsid w:val="00E66C85"/>
    <w:rsid w:val="00E66EFC"/>
    <w:rsid w:val="00E71EF5"/>
    <w:rsid w:val="00E721DF"/>
    <w:rsid w:val="00E72C1D"/>
    <w:rsid w:val="00E735B7"/>
    <w:rsid w:val="00E7415A"/>
    <w:rsid w:val="00E74241"/>
    <w:rsid w:val="00E75092"/>
    <w:rsid w:val="00E75B35"/>
    <w:rsid w:val="00E76E60"/>
    <w:rsid w:val="00E77E5A"/>
    <w:rsid w:val="00E80318"/>
    <w:rsid w:val="00E81F75"/>
    <w:rsid w:val="00E82415"/>
    <w:rsid w:val="00E82DCB"/>
    <w:rsid w:val="00E836CE"/>
    <w:rsid w:val="00E874A7"/>
    <w:rsid w:val="00E87BB5"/>
    <w:rsid w:val="00E91B87"/>
    <w:rsid w:val="00E92763"/>
    <w:rsid w:val="00E93B6F"/>
    <w:rsid w:val="00E93BCF"/>
    <w:rsid w:val="00E9417F"/>
    <w:rsid w:val="00E95B48"/>
    <w:rsid w:val="00E960E0"/>
    <w:rsid w:val="00E97124"/>
    <w:rsid w:val="00EA0A21"/>
    <w:rsid w:val="00EA158B"/>
    <w:rsid w:val="00EA1A4B"/>
    <w:rsid w:val="00EA1AA1"/>
    <w:rsid w:val="00EA1E87"/>
    <w:rsid w:val="00EA328D"/>
    <w:rsid w:val="00EA44E9"/>
    <w:rsid w:val="00EA4532"/>
    <w:rsid w:val="00EA4B2C"/>
    <w:rsid w:val="00EA6022"/>
    <w:rsid w:val="00EA6C85"/>
    <w:rsid w:val="00EA78F6"/>
    <w:rsid w:val="00EA7E39"/>
    <w:rsid w:val="00EB009E"/>
    <w:rsid w:val="00EB0997"/>
    <w:rsid w:val="00EB3D4F"/>
    <w:rsid w:val="00EB43FE"/>
    <w:rsid w:val="00EB6380"/>
    <w:rsid w:val="00EB7409"/>
    <w:rsid w:val="00EB78AC"/>
    <w:rsid w:val="00EB7950"/>
    <w:rsid w:val="00EB7D0B"/>
    <w:rsid w:val="00EC121A"/>
    <w:rsid w:val="00EC1279"/>
    <w:rsid w:val="00EC12F0"/>
    <w:rsid w:val="00EC1DB9"/>
    <w:rsid w:val="00EC2674"/>
    <w:rsid w:val="00EC2698"/>
    <w:rsid w:val="00EC2CEB"/>
    <w:rsid w:val="00EC2CFD"/>
    <w:rsid w:val="00EC3015"/>
    <w:rsid w:val="00EC3E88"/>
    <w:rsid w:val="00EC45BC"/>
    <w:rsid w:val="00EC46C3"/>
    <w:rsid w:val="00EC4774"/>
    <w:rsid w:val="00EC5EF6"/>
    <w:rsid w:val="00EC6042"/>
    <w:rsid w:val="00EC669F"/>
    <w:rsid w:val="00EC7751"/>
    <w:rsid w:val="00ED05F6"/>
    <w:rsid w:val="00ED2410"/>
    <w:rsid w:val="00ED3ADF"/>
    <w:rsid w:val="00ED553C"/>
    <w:rsid w:val="00ED555E"/>
    <w:rsid w:val="00ED633A"/>
    <w:rsid w:val="00ED7610"/>
    <w:rsid w:val="00ED7758"/>
    <w:rsid w:val="00ED7877"/>
    <w:rsid w:val="00EE0DBB"/>
    <w:rsid w:val="00EE10F4"/>
    <w:rsid w:val="00EE1D10"/>
    <w:rsid w:val="00EE2FBF"/>
    <w:rsid w:val="00EE36DC"/>
    <w:rsid w:val="00EE6A7B"/>
    <w:rsid w:val="00EF03F6"/>
    <w:rsid w:val="00EF084A"/>
    <w:rsid w:val="00EF1052"/>
    <w:rsid w:val="00EF16D5"/>
    <w:rsid w:val="00EF1703"/>
    <w:rsid w:val="00EF3975"/>
    <w:rsid w:val="00EF3A0C"/>
    <w:rsid w:val="00EF3DB0"/>
    <w:rsid w:val="00EF472E"/>
    <w:rsid w:val="00EF4910"/>
    <w:rsid w:val="00EF4E11"/>
    <w:rsid w:val="00EF5178"/>
    <w:rsid w:val="00F013FE"/>
    <w:rsid w:val="00F01C6E"/>
    <w:rsid w:val="00F01F8E"/>
    <w:rsid w:val="00F0259C"/>
    <w:rsid w:val="00F0346B"/>
    <w:rsid w:val="00F03A97"/>
    <w:rsid w:val="00F03C65"/>
    <w:rsid w:val="00F045C2"/>
    <w:rsid w:val="00F0479D"/>
    <w:rsid w:val="00F05AAC"/>
    <w:rsid w:val="00F064B3"/>
    <w:rsid w:val="00F07525"/>
    <w:rsid w:val="00F07F9E"/>
    <w:rsid w:val="00F12D02"/>
    <w:rsid w:val="00F130E3"/>
    <w:rsid w:val="00F13EEE"/>
    <w:rsid w:val="00F14C02"/>
    <w:rsid w:val="00F156F2"/>
    <w:rsid w:val="00F202B9"/>
    <w:rsid w:val="00F208A7"/>
    <w:rsid w:val="00F22A6D"/>
    <w:rsid w:val="00F22AE9"/>
    <w:rsid w:val="00F23389"/>
    <w:rsid w:val="00F247E1"/>
    <w:rsid w:val="00F253F6"/>
    <w:rsid w:val="00F253FD"/>
    <w:rsid w:val="00F25DCF"/>
    <w:rsid w:val="00F25DF9"/>
    <w:rsid w:val="00F27AD7"/>
    <w:rsid w:val="00F310D5"/>
    <w:rsid w:val="00F31F7C"/>
    <w:rsid w:val="00F3244A"/>
    <w:rsid w:val="00F327E2"/>
    <w:rsid w:val="00F32BB8"/>
    <w:rsid w:val="00F338E7"/>
    <w:rsid w:val="00F34797"/>
    <w:rsid w:val="00F35116"/>
    <w:rsid w:val="00F3582E"/>
    <w:rsid w:val="00F37699"/>
    <w:rsid w:val="00F37928"/>
    <w:rsid w:val="00F40C3A"/>
    <w:rsid w:val="00F422F4"/>
    <w:rsid w:val="00F4380F"/>
    <w:rsid w:val="00F43B51"/>
    <w:rsid w:val="00F43E18"/>
    <w:rsid w:val="00F47751"/>
    <w:rsid w:val="00F5077B"/>
    <w:rsid w:val="00F50D08"/>
    <w:rsid w:val="00F52CE1"/>
    <w:rsid w:val="00F53648"/>
    <w:rsid w:val="00F5567F"/>
    <w:rsid w:val="00F56142"/>
    <w:rsid w:val="00F57412"/>
    <w:rsid w:val="00F60E85"/>
    <w:rsid w:val="00F6142D"/>
    <w:rsid w:val="00F6226B"/>
    <w:rsid w:val="00F62354"/>
    <w:rsid w:val="00F62963"/>
    <w:rsid w:val="00F62C06"/>
    <w:rsid w:val="00F63779"/>
    <w:rsid w:val="00F63BDE"/>
    <w:rsid w:val="00F64573"/>
    <w:rsid w:val="00F64F15"/>
    <w:rsid w:val="00F6580A"/>
    <w:rsid w:val="00F663EF"/>
    <w:rsid w:val="00F70857"/>
    <w:rsid w:val="00F70B70"/>
    <w:rsid w:val="00F71010"/>
    <w:rsid w:val="00F71986"/>
    <w:rsid w:val="00F720F6"/>
    <w:rsid w:val="00F731E1"/>
    <w:rsid w:val="00F732FE"/>
    <w:rsid w:val="00F73E54"/>
    <w:rsid w:val="00F76AC1"/>
    <w:rsid w:val="00F76E00"/>
    <w:rsid w:val="00F76FD2"/>
    <w:rsid w:val="00F77010"/>
    <w:rsid w:val="00F817DE"/>
    <w:rsid w:val="00F8194E"/>
    <w:rsid w:val="00F820AB"/>
    <w:rsid w:val="00F8304F"/>
    <w:rsid w:val="00F830FE"/>
    <w:rsid w:val="00F8352A"/>
    <w:rsid w:val="00F83D70"/>
    <w:rsid w:val="00F85653"/>
    <w:rsid w:val="00F8577A"/>
    <w:rsid w:val="00F85AB4"/>
    <w:rsid w:val="00F86FA1"/>
    <w:rsid w:val="00F874DC"/>
    <w:rsid w:val="00F904B0"/>
    <w:rsid w:val="00F90577"/>
    <w:rsid w:val="00F91079"/>
    <w:rsid w:val="00F91775"/>
    <w:rsid w:val="00F917C9"/>
    <w:rsid w:val="00F91AA2"/>
    <w:rsid w:val="00F92C78"/>
    <w:rsid w:val="00F934C1"/>
    <w:rsid w:val="00F93F80"/>
    <w:rsid w:val="00F94694"/>
    <w:rsid w:val="00F94A6F"/>
    <w:rsid w:val="00F95226"/>
    <w:rsid w:val="00F96424"/>
    <w:rsid w:val="00F964FF"/>
    <w:rsid w:val="00F9796B"/>
    <w:rsid w:val="00F97F30"/>
    <w:rsid w:val="00FA03E0"/>
    <w:rsid w:val="00FA1F06"/>
    <w:rsid w:val="00FA23F7"/>
    <w:rsid w:val="00FA317D"/>
    <w:rsid w:val="00FA4E2D"/>
    <w:rsid w:val="00FA5CDA"/>
    <w:rsid w:val="00FA7701"/>
    <w:rsid w:val="00FB03A2"/>
    <w:rsid w:val="00FB04CD"/>
    <w:rsid w:val="00FB0889"/>
    <w:rsid w:val="00FB1776"/>
    <w:rsid w:val="00FB1943"/>
    <w:rsid w:val="00FB1E60"/>
    <w:rsid w:val="00FB2C5C"/>
    <w:rsid w:val="00FB3741"/>
    <w:rsid w:val="00FB5B35"/>
    <w:rsid w:val="00FB737F"/>
    <w:rsid w:val="00FC2A7D"/>
    <w:rsid w:val="00FC3E51"/>
    <w:rsid w:val="00FC48BB"/>
    <w:rsid w:val="00FC6AB4"/>
    <w:rsid w:val="00FC6B87"/>
    <w:rsid w:val="00FC6EA5"/>
    <w:rsid w:val="00FC7269"/>
    <w:rsid w:val="00FD0451"/>
    <w:rsid w:val="00FD0D1E"/>
    <w:rsid w:val="00FD15BA"/>
    <w:rsid w:val="00FD3BF4"/>
    <w:rsid w:val="00FD42F8"/>
    <w:rsid w:val="00FD52EC"/>
    <w:rsid w:val="00FD53A0"/>
    <w:rsid w:val="00FD5A13"/>
    <w:rsid w:val="00FD782E"/>
    <w:rsid w:val="00FD7867"/>
    <w:rsid w:val="00FD7C91"/>
    <w:rsid w:val="00FE1756"/>
    <w:rsid w:val="00FE1BC4"/>
    <w:rsid w:val="00FE1E3F"/>
    <w:rsid w:val="00FE208A"/>
    <w:rsid w:val="00FE289D"/>
    <w:rsid w:val="00FE2D20"/>
    <w:rsid w:val="00FE3914"/>
    <w:rsid w:val="00FE50E9"/>
    <w:rsid w:val="00FE68A8"/>
    <w:rsid w:val="00FE6DDB"/>
    <w:rsid w:val="00FE7F3F"/>
    <w:rsid w:val="00FF0090"/>
    <w:rsid w:val="00FF0857"/>
    <w:rsid w:val="00FF0A5B"/>
    <w:rsid w:val="00FF1535"/>
    <w:rsid w:val="00FF20B4"/>
    <w:rsid w:val="00FF3207"/>
    <w:rsid w:val="00FF33F5"/>
    <w:rsid w:val="00FF3B65"/>
    <w:rsid w:val="00FF3D5D"/>
    <w:rsid w:val="00FF4176"/>
    <w:rsid w:val="00FF55E0"/>
    <w:rsid w:val="00FF6BD0"/>
    <w:rsid w:val="00FF706A"/>
    <w:rsid w:val="01477BCB"/>
    <w:rsid w:val="0165774F"/>
    <w:rsid w:val="017513A9"/>
    <w:rsid w:val="01B11E35"/>
    <w:rsid w:val="01C62B3E"/>
    <w:rsid w:val="028407B3"/>
    <w:rsid w:val="02F2197A"/>
    <w:rsid w:val="03375244"/>
    <w:rsid w:val="03E62EB1"/>
    <w:rsid w:val="03EC63C9"/>
    <w:rsid w:val="0413149A"/>
    <w:rsid w:val="0422003D"/>
    <w:rsid w:val="042913CB"/>
    <w:rsid w:val="054E19A4"/>
    <w:rsid w:val="05771562"/>
    <w:rsid w:val="05852CF4"/>
    <w:rsid w:val="05927A85"/>
    <w:rsid w:val="060F639F"/>
    <w:rsid w:val="066E7569"/>
    <w:rsid w:val="06B37672"/>
    <w:rsid w:val="07510465"/>
    <w:rsid w:val="078F3BF1"/>
    <w:rsid w:val="080E26A1"/>
    <w:rsid w:val="088C088F"/>
    <w:rsid w:val="09C1409A"/>
    <w:rsid w:val="0A743D85"/>
    <w:rsid w:val="0B961C47"/>
    <w:rsid w:val="0BD55F69"/>
    <w:rsid w:val="0BF56037"/>
    <w:rsid w:val="0C152235"/>
    <w:rsid w:val="0C3B6140"/>
    <w:rsid w:val="0CD848B8"/>
    <w:rsid w:val="0D504342"/>
    <w:rsid w:val="0D870F11"/>
    <w:rsid w:val="0DB02216"/>
    <w:rsid w:val="0DC5128C"/>
    <w:rsid w:val="0DD9114E"/>
    <w:rsid w:val="0E0408E9"/>
    <w:rsid w:val="0E1C525D"/>
    <w:rsid w:val="0E260891"/>
    <w:rsid w:val="0E725164"/>
    <w:rsid w:val="0EFE4AC2"/>
    <w:rsid w:val="101F37A7"/>
    <w:rsid w:val="10D02C05"/>
    <w:rsid w:val="11252F1A"/>
    <w:rsid w:val="11802A9D"/>
    <w:rsid w:val="11A27ED6"/>
    <w:rsid w:val="11D14F29"/>
    <w:rsid w:val="12A065D5"/>
    <w:rsid w:val="12B207DE"/>
    <w:rsid w:val="12C66037"/>
    <w:rsid w:val="12D91221"/>
    <w:rsid w:val="13407938"/>
    <w:rsid w:val="13693592"/>
    <w:rsid w:val="137E6AE5"/>
    <w:rsid w:val="13C366E3"/>
    <w:rsid w:val="143F0797"/>
    <w:rsid w:val="1451773B"/>
    <w:rsid w:val="149418A3"/>
    <w:rsid w:val="14CB202B"/>
    <w:rsid w:val="14CD3A88"/>
    <w:rsid w:val="14EB5FBC"/>
    <w:rsid w:val="15702678"/>
    <w:rsid w:val="15831547"/>
    <w:rsid w:val="159113BF"/>
    <w:rsid w:val="161404C8"/>
    <w:rsid w:val="161A6DC6"/>
    <w:rsid w:val="172A2E7A"/>
    <w:rsid w:val="172C1744"/>
    <w:rsid w:val="17476AD5"/>
    <w:rsid w:val="176651A7"/>
    <w:rsid w:val="17B2302E"/>
    <w:rsid w:val="17B23574"/>
    <w:rsid w:val="18345ABA"/>
    <w:rsid w:val="1851727E"/>
    <w:rsid w:val="186A5405"/>
    <w:rsid w:val="18932E60"/>
    <w:rsid w:val="189645C0"/>
    <w:rsid w:val="18C82B09"/>
    <w:rsid w:val="18DA146E"/>
    <w:rsid w:val="18FB5139"/>
    <w:rsid w:val="192F2B88"/>
    <w:rsid w:val="194B16A1"/>
    <w:rsid w:val="19762565"/>
    <w:rsid w:val="19AF5A77"/>
    <w:rsid w:val="19B74463"/>
    <w:rsid w:val="19BC232B"/>
    <w:rsid w:val="1A4505F1"/>
    <w:rsid w:val="1A7E4FCF"/>
    <w:rsid w:val="1A8211B0"/>
    <w:rsid w:val="1A8A42CA"/>
    <w:rsid w:val="1ABE7FAC"/>
    <w:rsid w:val="1B217338"/>
    <w:rsid w:val="1B3D037C"/>
    <w:rsid w:val="1B4C36BB"/>
    <w:rsid w:val="1B5A5C6B"/>
    <w:rsid w:val="1BAB6C8D"/>
    <w:rsid w:val="1C591711"/>
    <w:rsid w:val="1C6F2165"/>
    <w:rsid w:val="1C7F0946"/>
    <w:rsid w:val="1CBD1967"/>
    <w:rsid w:val="1D0936F0"/>
    <w:rsid w:val="1D126FDD"/>
    <w:rsid w:val="1D2F75FB"/>
    <w:rsid w:val="1D8B05A9"/>
    <w:rsid w:val="1DCA664E"/>
    <w:rsid w:val="1DF12B02"/>
    <w:rsid w:val="1E450182"/>
    <w:rsid w:val="1E5D0198"/>
    <w:rsid w:val="1EC446A5"/>
    <w:rsid w:val="1EDA53E2"/>
    <w:rsid w:val="1EE07F7F"/>
    <w:rsid w:val="1F4F72C9"/>
    <w:rsid w:val="1F5327B5"/>
    <w:rsid w:val="1FA977BF"/>
    <w:rsid w:val="1FC3402A"/>
    <w:rsid w:val="1FE94A78"/>
    <w:rsid w:val="20083BF5"/>
    <w:rsid w:val="206E2E3C"/>
    <w:rsid w:val="20C95670"/>
    <w:rsid w:val="20D06740"/>
    <w:rsid w:val="20EF0E4F"/>
    <w:rsid w:val="20FB4104"/>
    <w:rsid w:val="21050673"/>
    <w:rsid w:val="213F215E"/>
    <w:rsid w:val="21493877"/>
    <w:rsid w:val="214F7FD4"/>
    <w:rsid w:val="216D6944"/>
    <w:rsid w:val="21EF2BF7"/>
    <w:rsid w:val="22386288"/>
    <w:rsid w:val="22503C1D"/>
    <w:rsid w:val="226D4721"/>
    <w:rsid w:val="227B3D94"/>
    <w:rsid w:val="227C521C"/>
    <w:rsid w:val="22E23F44"/>
    <w:rsid w:val="234731C4"/>
    <w:rsid w:val="239E5129"/>
    <w:rsid w:val="24400E1F"/>
    <w:rsid w:val="247D51DF"/>
    <w:rsid w:val="247E0175"/>
    <w:rsid w:val="248520D7"/>
    <w:rsid w:val="25335C24"/>
    <w:rsid w:val="25755DC7"/>
    <w:rsid w:val="257A1221"/>
    <w:rsid w:val="258F538D"/>
    <w:rsid w:val="25E015F6"/>
    <w:rsid w:val="26E0484D"/>
    <w:rsid w:val="27264850"/>
    <w:rsid w:val="27443528"/>
    <w:rsid w:val="27482DA8"/>
    <w:rsid w:val="27595274"/>
    <w:rsid w:val="28174256"/>
    <w:rsid w:val="28312E15"/>
    <w:rsid w:val="283C1DD8"/>
    <w:rsid w:val="28D21BF7"/>
    <w:rsid w:val="28E87C1A"/>
    <w:rsid w:val="2A0C4820"/>
    <w:rsid w:val="2A494F4A"/>
    <w:rsid w:val="2A510C9C"/>
    <w:rsid w:val="2A6C52BE"/>
    <w:rsid w:val="2A805769"/>
    <w:rsid w:val="2ADA11FD"/>
    <w:rsid w:val="2AE03E77"/>
    <w:rsid w:val="2B02634F"/>
    <w:rsid w:val="2B4104F9"/>
    <w:rsid w:val="2BB03D3C"/>
    <w:rsid w:val="2C0734F1"/>
    <w:rsid w:val="2C1D6BD5"/>
    <w:rsid w:val="2C546A99"/>
    <w:rsid w:val="2CA44507"/>
    <w:rsid w:val="2CDC0F6F"/>
    <w:rsid w:val="2CE46631"/>
    <w:rsid w:val="2D3A16A4"/>
    <w:rsid w:val="2D606C10"/>
    <w:rsid w:val="2D6D5C07"/>
    <w:rsid w:val="2D7A3971"/>
    <w:rsid w:val="2EB8264A"/>
    <w:rsid w:val="2F110B7B"/>
    <w:rsid w:val="2F155F21"/>
    <w:rsid w:val="2FA87B82"/>
    <w:rsid w:val="30235B53"/>
    <w:rsid w:val="30E443A9"/>
    <w:rsid w:val="30F85AFE"/>
    <w:rsid w:val="318D11BE"/>
    <w:rsid w:val="31996FDB"/>
    <w:rsid w:val="321D7FAE"/>
    <w:rsid w:val="32383A46"/>
    <w:rsid w:val="3296737C"/>
    <w:rsid w:val="32C00BD6"/>
    <w:rsid w:val="32D84909"/>
    <w:rsid w:val="33305A23"/>
    <w:rsid w:val="33753436"/>
    <w:rsid w:val="337A31A4"/>
    <w:rsid w:val="33842D58"/>
    <w:rsid w:val="33C2377D"/>
    <w:rsid w:val="33E6570C"/>
    <w:rsid w:val="33F14B85"/>
    <w:rsid w:val="34293A3F"/>
    <w:rsid w:val="344D1113"/>
    <w:rsid w:val="347035F7"/>
    <w:rsid w:val="348E47AF"/>
    <w:rsid w:val="34DF325D"/>
    <w:rsid w:val="36297FEC"/>
    <w:rsid w:val="364C66D0"/>
    <w:rsid w:val="36566100"/>
    <w:rsid w:val="365F17D9"/>
    <w:rsid w:val="36FA25D0"/>
    <w:rsid w:val="37276106"/>
    <w:rsid w:val="3795459A"/>
    <w:rsid w:val="384C2872"/>
    <w:rsid w:val="3947656F"/>
    <w:rsid w:val="398840B5"/>
    <w:rsid w:val="39A8171C"/>
    <w:rsid w:val="39EA702F"/>
    <w:rsid w:val="3A9A0428"/>
    <w:rsid w:val="3AB234E7"/>
    <w:rsid w:val="3ABA54C6"/>
    <w:rsid w:val="3ABF56FA"/>
    <w:rsid w:val="3B1855C6"/>
    <w:rsid w:val="3B200138"/>
    <w:rsid w:val="3BC57B8F"/>
    <w:rsid w:val="3BCA5316"/>
    <w:rsid w:val="3BE159ED"/>
    <w:rsid w:val="3C1F7ED7"/>
    <w:rsid w:val="3C2B4FD9"/>
    <w:rsid w:val="3C7A15FE"/>
    <w:rsid w:val="3C8B2027"/>
    <w:rsid w:val="3C9C54B2"/>
    <w:rsid w:val="3CB75C8C"/>
    <w:rsid w:val="3CD842BA"/>
    <w:rsid w:val="3CED04E1"/>
    <w:rsid w:val="3D154364"/>
    <w:rsid w:val="3D3922A2"/>
    <w:rsid w:val="3D734A47"/>
    <w:rsid w:val="3D92781D"/>
    <w:rsid w:val="3DE82198"/>
    <w:rsid w:val="3E2D1234"/>
    <w:rsid w:val="3E42660A"/>
    <w:rsid w:val="3E846C23"/>
    <w:rsid w:val="3E884A7C"/>
    <w:rsid w:val="3EA07B02"/>
    <w:rsid w:val="3EAD0CC4"/>
    <w:rsid w:val="3EE649B0"/>
    <w:rsid w:val="3EFE4C27"/>
    <w:rsid w:val="3F3B0C9D"/>
    <w:rsid w:val="3FBB6674"/>
    <w:rsid w:val="3FDD1D9F"/>
    <w:rsid w:val="3FDF4001"/>
    <w:rsid w:val="3FF20EF0"/>
    <w:rsid w:val="3FF81C6C"/>
    <w:rsid w:val="40835A4C"/>
    <w:rsid w:val="409273C5"/>
    <w:rsid w:val="409A272E"/>
    <w:rsid w:val="40AC57AD"/>
    <w:rsid w:val="40C95B0C"/>
    <w:rsid w:val="40DA0D7C"/>
    <w:rsid w:val="40E02836"/>
    <w:rsid w:val="4116259D"/>
    <w:rsid w:val="41724CF5"/>
    <w:rsid w:val="428F404E"/>
    <w:rsid w:val="42BC2E2F"/>
    <w:rsid w:val="42C86C2C"/>
    <w:rsid w:val="43422FC4"/>
    <w:rsid w:val="434B5F61"/>
    <w:rsid w:val="43D340A8"/>
    <w:rsid w:val="4419461A"/>
    <w:rsid w:val="448D5F45"/>
    <w:rsid w:val="45092B28"/>
    <w:rsid w:val="451166B5"/>
    <w:rsid w:val="45325A24"/>
    <w:rsid w:val="45970786"/>
    <w:rsid w:val="45A35BE1"/>
    <w:rsid w:val="45BE0526"/>
    <w:rsid w:val="45CC091B"/>
    <w:rsid w:val="45E76415"/>
    <w:rsid w:val="463D6035"/>
    <w:rsid w:val="46521F1E"/>
    <w:rsid w:val="46D5554A"/>
    <w:rsid w:val="46E850EA"/>
    <w:rsid w:val="46F94504"/>
    <w:rsid w:val="471A6376"/>
    <w:rsid w:val="476F2186"/>
    <w:rsid w:val="47C83729"/>
    <w:rsid w:val="47F807CD"/>
    <w:rsid w:val="48590EF7"/>
    <w:rsid w:val="48620222"/>
    <w:rsid w:val="48952302"/>
    <w:rsid w:val="48B06C95"/>
    <w:rsid w:val="48BD16AF"/>
    <w:rsid w:val="490C7D41"/>
    <w:rsid w:val="495649FA"/>
    <w:rsid w:val="4A204B14"/>
    <w:rsid w:val="4A69067C"/>
    <w:rsid w:val="4AB40015"/>
    <w:rsid w:val="4AE31F58"/>
    <w:rsid w:val="4B054C48"/>
    <w:rsid w:val="4B0D3348"/>
    <w:rsid w:val="4B265EDC"/>
    <w:rsid w:val="4B31189E"/>
    <w:rsid w:val="4B406CC7"/>
    <w:rsid w:val="4BA426B2"/>
    <w:rsid w:val="4D4C4DB0"/>
    <w:rsid w:val="4D690508"/>
    <w:rsid w:val="4D97427D"/>
    <w:rsid w:val="4DB43081"/>
    <w:rsid w:val="4DB52828"/>
    <w:rsid w:val="4DFB054F"/>
    <w:rsid w:val="4E21448E"/>
    <w:rsid w:val="4E3221F7"/>
    <w:rsid w:val="4EA40E15"/>
    <w:rsid w:val="4EB42B50"/>
    <w:rsid w:val="4EC90CCF"/>
    <w:rsid w:val="4EE014EC"/>
    <w:rsid w:val="4EEA5B05"/>
    <w:rsid w:val="4F2B6026"/>
    <w:rsid w:val="4F4A7C2E"/>
    <w:rsid w:val="4F6C1739"/>
    <w:rsid w:val="4FAA3D56"/>
    <w:rsid w:val="50772144"/>
    <w:rsid w:val="509A7021"/>
    <w:rsid w:val="50A63F9F"/>
    <w:rsid w:val="50FF32D2"/>
    <w:rsid w:val="51044A52"/>
    <w:rsid w:val="510B4369"/>
    <w:rsid w:val="510F6820"/>
    <w:rsid w:val="51424ECF"/>
    <w:rsid w:val="51550EA9"/>
    <w:rsid w:val="517E39D7"/>
    <w:rsid w:val="519A542A"/>
    <w:rsid w:val="51CB6BEB"/>
    <w:rsid w:val="51CD4715"/>
    <w:rsid w:val="52016BD2"/>
    <w:rsid w:val="52603BA0"/>
    <w:rsid w:val="52CC2C1B"/>
    <w:rsid w:val="52D47D21"/>
    <w:rsid w:val="537230CA"/>
    <w:rsid w:val="53D6609D"/>
    <w:rsid w:val="53FC6ACE"/>
    <w:rsid w:val="54147B52"/>
    <w:rsid w:val="541816F7"/>
    <w:rsid w:val="54660E4D"/>
    <w:rsid w:val="5484665D"/>
    <w:rsid w:val="558D5808"/>
    <w:rsid w:val="55961626"/>
    <w:rsid w:val="55D64F00"/>
    <w:rsid w:val="564D060A"/>
    <w:rsid w:val="56BC5F12"/>
    <w:rsid w:val="56D95720"/>
    <w:rsid w:val="575A2A2C"/>
    <w:rsid w:val="575C1CC8"/>
    <w:rsid w:val="5780763F"/>
    <w:rsid w:val="586A6BDB"/>
    <w:rsid w:val="586D2BCD"/>
    <w:rsid w:val="58A957AC"/>
    <w:rsid w:val="595B4CF8"/>
    <w:rsid w:val="596811C3"/>
    <w:rsid w:val="59A2740C"/>
    <w:rsid w:val="59B75A38"/>
    <w:rsid w:val="5A160809"/>
    <w:rsid w:val="5C3A0138"/>
    <w:rsid w:val="5C673325"/>
    <w:rsid w:val="5C757E7F"/>
    <w:rsid w:val="5D783CDA"/>
    <w:rsid w:val="5E67546A"/>
    <w:rsid w:val="5EC84A00"/>
    <w:rsid w:val="5F0A6F31"/>
    <w:rsid w:val="5F2658AB"/>
    <w:rsid w:val="5F414A6C"/>
    <w:rsid w:val="5FC4513D"/>
    <w:rsid w:val="5FC51DA0"/>
    <w:rsid w:val="60001041"/>
    <w:rsid w:val="6080745F"/>
    <w:rsid w:val="6131633F"/>
    <w:rsid w:val="62982F8C"/>
    <w:rsid w:val="62EF64B1"/>
    <w:rsid w:val="62F7618C"/>
    <w:rsid w:val="63AD56B0"/>
    <w:rsid w:val="63DF4596"/>
    <w:rsid w:val="63F14444"/>
    <w:rsid w:val="642F4DB7"/>
    <w:rsid w:val="644B5969"/>
    <w:rsid w:val="64AA756E"/>
    <w:rsid w:val="64AC28AC"/>
    <w:rsid w:val="64D43BB1"/>
    <w:rsid w:val="64DD0CB7"/>
    <w:rsid w:val="65384127"/>
    <w:rsid w:val="65926EDA"/>
    <w:rsid w:val="65AA7225"/>
    <w:rsid w:val="664A6DB3"/>
    <w:rsid w:val="667446D6"/>
    <w:rsid w:val="67661BC6"/>
    <w:rsid w:val="67A7735B"/>
    <w:rsid w:val="67D00C10"/>
    <w:rsid w:val="68021003"/>
    <w:rsid w:val="68024095"/>
    <w:rsid w:val="68137D28"/>
    <w:rsid w:val="6864090D"/>
    <w:rsid w:val="6894038E"/>
    <w:rsid w:val="68E819D9"/>
    <w:rsid w:val="6902539D"/>
    <w:rsid w:val="692D1AE1"/>
    <w:rsid w:val="696B5AAF"/>
    <w:rsid w:val="698F4691"/>
    <w:rsid w:val="69903460"/>
    <w:rsid w:val="699851AD"/>
    <w:rsid w:val="69B67D29"/>
    <w:rsid w:val="6C1B20C5"/>
    <w:rsid w:val="6C3311BD"/>
    <w:rsid w:val="6C717FC7"/>
    <w:rsid w:val="6D0A10DE"/>
    <w:rsid w:val="6D4E6DD0"/>
    <w:rsid w:val="6DD100F1"/>
    <w:rsid w:val="6E2A65EF"/>
    <w:rsid w:val="6E7354E8"/>
    <w:rsid w:val="6EA66D41"/>
    <w:rsid w:val="6F3A26E8"/>
    <w:rsid w:val="6F881EDF"/>
    <w:rsid w:val="6F8A5598"/>
    <w:rsid w:val="6FC025F4"/>
    <w:rsid w:val="702E686B"/>
    <w:rsid w:val="706F0D4A"/>
    <w:rsid w:val="70981225"/>
    <w:rsid w:val="70BE7462"/>
    <w:rsid w:val="71937888"/>
    <w:rsid w:val="719E4CA8"/>
    <w:rsid w:val="725B4129"/>
    <w:rsid w:val="733221CE"/>
    <w:rsid w:val="73491262"/>
    <w:rsid w:val="7366378E"/>
    <w:rsid w:val="73DA2024"/>
    <w:rsid w:val="74445654"/>
    <w:rsid w:val="74461453"/>
    <w:rsid w:val="74BF306B"/>
    <w:rsid w:val="752821B9"/>
    <w:rsid w:val="752D5343"/>
    <w:rsid w:val="75457105"/>
    <w:rsid w:val="75846F2D"/>
    <w:rsid w:val="75C60B79"/>
    <w:rsid w:val="75CF60A7"/>
    <w:rsid w:val="76216828"/>
    <w:rsid w:val="76AD3FF9"/>
    <w:rsid w:val="76D252C8"/>
    <w:rsid w:val="76FA2A99"/>
    <w:rsid w:val="7771546F"/>
    <w:rsid w:val="777D4BE9"/>
    <w:rsid w:val="779A3579"/>
    <w:rsid w:val="77D10621"/>
    <w:rsid w:val="78092C74"/>
    <w:rsid w:val="78F540FB"/>
    <w:rsid w:val="794C1B10"/>
    <w:rsid w:val="795F350D"/>
    <w:rsid w:val="7973709D"/>
    <w:rsid w:val="79866C7A"/>
    <w:rsid w:val="79895EAC"/>
    <w:rsid w:val="799236E7"/>
    <w:rsid w:val="79993AD1"/>
    <w:rsid w:val="79BC7FBE"/>
    <w:rsid w:val="7A04260F"/>
    <w:rsid w:val="7AA428F7"/>
    <w:rsid w:val="7C1525C8"/>
    <w:rsid w:val="7C8F68E3"/>
    <w:rsid w:val="7CA227A5"/>
    <w:rsid w:val="7CE379F2"/>
    <w:rsid w:val="7CF92B0D"/>
    <w:rsid w:val="7D155246"/>
    <w:rsid w:val="7D2B0B2C"/>
    <w:rsid w:val="7D652500"/>
    <w:rsid w:val="7D68356F"/>
    <w:rsid w:val="7DBA31B2"/>
    <w:rsid w:val="7DC2406E"/>
    <w:rsid w:val="7E2911F2"/>
    <w:rsid w:val="7E4A191D"/>
    <w:rsid w:val="7E4B67C3"/>
    <w:rsid w:val="7ED56104"/>
    <w:rsid w:val="7EEF18BB"/>
    <w:rsid w:val="7F295485"/>
    <w:rsid w:val="7FE54D11"/>
    <w:rsid w:val="7FFD0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qFormat="1" w:unhideWhenUsed="0" w:uiPriority="9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7"/>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8"/>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49"/>
    <w:autoRedefine/>
    <w:qFormat/>
    <w:uiPriority w:val="0"/>
    <w:pPr>
      <w:keepNext/>
      <w:keepLines/>
      <w:spacing w:before="260" w:after="260" w:line="416" w:lineRule="auto"/>
      <w:outlineLvl w:val="2"/>
    </w:pPr>
    <w:rPr>
      <w:b/>
      <w:bCs/>
      <w:kern w:val="0"/>
      <w:sz w:val="32"/>
      <w:szCs w:val="32"/>
    </w:rPr>
  </w:style>
  <w:style w:type="paragraph" w:styleId="6">
    <w:name w:val="heading 4"/>
    <w:basedOn w:val="1"/>
    <w:next w:val="1"/>
    <w:link w:val="46"/>
    <w:autoRedefine/>
    <w:qFormat/>
    <w:uiPriority w:val="0"/>
    <w:pPr>
      <w:keepNext/>
      <w:jc w:val="center"/>
      <w:outlineLvl w:val="3"/>
    </w:pPr>
    <w:rPr>
      <w:rFonts w:eastAsia="新宋体"/>
      <w:kern w:val="0"/>
      <w:sz w:val="30"/>
      <w:szCs w:val="21"/>
    </w:rPr>
  </w:style>
  <w:style w:type="paragraph" w:styleId="7">
    <w:name w:val="heading 5"/>
    <w:basedOn w:val="1"/>
    <w:next w:val="1"/>
    <w:link w:val="50"/>
    <w:autoRedefine/>
    <w:qFormat/>
    <w:uiPriority w:val="0"/>
    <w:pPr>
      <w:keepNext/>
      <w:keepLines/>
      <w:spacing w:before="280" w:after="290" w:line="376" w:lineRule="auto"/>
      <w:outlineLvl w:val="4"/>
    </w:pPr>
    <w:rPr>
      <w:b/>
      <w:bCs/>
      <w:kern w:val="0"/>
      <w:sz w:val="28"/>
      <w:szCs w:val="28"/>
    </w:rPr>
  </w:style>
  <w:style w:type="paragraph" w:styleId="8">
    <w:name w:val="heading 6"/>
    <w:basedOn w:val="1"/>
    <w:next w:val="1"/>
    <w:link w:val="51"/>
    <w:autoRedefine/>
    <w:qFormat/>
    <w:uiPriority w:val="0"/>
    <w:pPr>
      <w:keepNext/>
      <w:jc w:val="center"/>
      <w:outlineLvl w:val="5"/>
    </w:pPr>
    <w:rPr>
      <w:b/>
      <w:kern w:val="0"/>
      <w:sz w:val="44"/>
      <w:szCs w:val="20"/>
    </w:rPr>
  </w:style>
  <w:style w:type="paragraph" w:styleId="9">
    <w:name w:val="heading 7"/>
    <w:basedOn w:val="1"/>
    <w:next w:val="1"/>
    <w:link w:val="52"/>
    <w:autoRedefine/>
    <w:qFormat/>
    <w:uiPriority w:val="0"/>
    <w:pPr>
      <w:keepNext/>
      <w:keepLines/>
      <w:spacing w:before="240" w:after="64" w:line="320" w:lineRule="auto"/>
      <w:outlineLvl w:val="6"/>
    </w:pPr>
    <w:rPr>
      <w:b/>
      <w:bCs/>
      <w:kern w:val="0"/>
      <w:sz w:val="24"/>
    </w:rPr>
  </w:style>
  <w:style w:type="paragraph" w:styleId="10">
    <w:name w:val="heading 8"/>
    <w:basedOn w:val="1"/>
    <w:next w:val="1"/>
    <w:link w:val="53"/>
    <w:autoRedefine/>
    <w:qFormat/>
    <w:uiPriority w:val="0"/>
    <w:pPr>
      <w:keepNext/>
      <w:keepLines/>
      <w:spacing w:before="240" w:after="64" w:line="320" w:lineRule="auto"/>
      <w:outlineLvl w:val="7"/>
    </w:pPr>
    <w:rPr>
      <w:rFonts w:ascii="Arial" w:hAnsi="Arial" w:eastAsia="黑体"/>
      <w:kern w:val="0"/>
      <w:sz w:val="24"/>
    </w:rPr>
  </w:style>
  <w:style w:type="paragraph" w:styleId="11">
    <w:name w:val="heading 9"/>
    <w:basedOn w:val="1"/>
    <w:next w:val="1"/>
    <w:link w:val="54"/>
    <w:autoRedefine/>
    <w:qFormat/>
    <w:uiPriority w:val="0"/>
    <w:pPr>
      <w:keepNext/>
      <w:keepLines/>
      <w:spacing w:before="240" w:after="64" w:line="320" w:lineRule="auto"/>
      <w:outlineLvl w:val="8"/>
    </w:pPr>
    <w:rPr>
      <w:rFonts w:ascii="Arial" w:hAnsi="Arial" w:eastAsia="黑体"/>
      <w:kern w:val="0"/>
      <w:sz w:val="24"/>
      <w:szCs w:val="21"/>
    </w:rPr>
  </w:style>
  <w:style w:type="character" w:default="1" w:styleId="39">
    <w:name w:val="Default Paragraph Font"/>
    <w:autoRedefine/>
    <w:semiHidden/>
    <w:unhideWhenUsed/>
    <w:qFormat/>
    <w:uiPriority w:val="1"/>
  </w:style>
  <w:style w:type="table" w:default="1" w:styleId="37">
    <w:name w:val="Normal Table"/>
    <w:autoRedefine/>
    <w:semiHidden/>
    <w:unhideWhenUsed/>
    <w:qFormat/>
    <w:uiPriority w:val="99"/>
    <w:tblPr>
      <w:tblCellMar>
        <w:top w:w="0" w:type="dxa"/>
        <w:left w:w="108" w:type="dxa"/>
        <w:bottom w:w="0" w:type="dxa"/>
        <w:right w:w="108" w:type="dxa"/>
      </w:tblCellMar>
    </w:tblPr>
  </w:style>
  <w:style w:type="paragraph" w:customStyle="1" w:styleId="2">
    <w:name w:val="列出段落1"/>
    <w:basedOn w:val="1"/>
    <w:autoRedefine/>
    <w:qFormat/>
    <w:uiPriority w:val="34"/>
    <w:pPr>
      <w:widowControl/>
      <w:ind w:left="720"/>
      <w:contextualSpacing/>
      <w:jc w:val="left"/>
    </w:pPr>
    <w:rPr>
      <w:kern w:val="0"/>
      <w:sz w:val="24"/>
      <w:lang w:eastAsia="en-US" w:bidi="en-US"/>
    </w:rPr>
  </w:style>
  <w:style w:type="paragraph" w:styleId="12">
    <w:name w:val="toc 7"/>
    <w:basedOn w:val="1"/>
    <w:next w:val="1"/>
    <w:autoRedefine/>
    <w:semiHidden/>
    <w:qFormat/>
    <w:uiPriority w:val="99"/>
    <w:pPr>
      <w:ind w:left="1260"/>
      <w:jc w:val="left"/>
    </w:pPr>
  </w:style>
  <w:style w:type="paragraph" w:styleId="13">
    <w:name w:val="Note Heading"/>
    <w:basedOn w:val="1"/>
    <w:next w:val="1"/>
    <w:autoRedefine/>
    <w:qFormat/>
    <w:uiPriority w:val="0"/>
    <w:rPr>
      <w:rFonts w:ascii="Verdana" w:hAnsi="Verdana"/>
      <w:szCs w:val="20"/>
    </w:rPr>
  </w:style>
  <w:style w:type="paragraph" w:styleId="14">
    <w:name w:val="Normal Indent"/>
    <w:basedOn w:val="1"/>
    <w:link w:val="55"/>
    <w:autoRedefine/>
    <w:qFormat/>
    <w:uiPriority w:val="0"/>
    <w:pPr>
      <w:ind w:firstLine="420"/>
    </w:pPr>
    <w:rPr>
      <w:kern w:val="0"/>
      <w:sz w:val="20"/>
      <w:szCs w:val="20"/>
    </w:rPr>
  </w:style>
  <w:style w:type="paragraph" w:styleId="15">
    <w:name w:val="Document Map"/>
    <w:basedOn w:val="1"/>
    <w:link w:val="56"/>
    <w:autoRedefine/>
    <w:semiHidden/>
    <w:qFormat/>
    <w:uiPriority w:val="0"/>
    <w:pPr>
      <w:shd w:val="clear" w:color="auto" w:fill="000080"/>
    </w:pPr>
    <w:rPr>
      <w:kern w:val="0"/>
      <w:sz w:val="20"/>
    </w:rPr>
  </w:style>
  <w:style w:type="paragraph" w:styleId="16">
    <w:name w:val="toa heading"/>
    <w:basedOn w:val="1"/>
    <w:next w:val="1"/>
    <w:autoRedefine/>
    <w:qFormat/>
    <w:uiPriority w:val="0"/>
    <w:pPr>
      <w:adjustRightInd w:val="0"/>
      <w:spacing w:line="360" w:lineRule="atLeast"/>
      <w:jc w:val="center"/>
      <w:textAlignment w:val="baseline"/>
    </w:pPr>
    <w:rPr>
      <w:rFonts w:ascii="Arial" w:hAnsi="Arial" w:eastAsia="黑体"/>
      <w:kern w:val="0"/>
      <w:sz w:val="36"/>
      <w:szCs w:val="20"/>
    </w:rPr>
  </w:style>
  <w:style w:type="paragraph" w:styleId="17">
    <w:name w:val="annotation text"/>
    <w:basedOn w:val="1"/>
    <w:link w:val="57"/>
    <w:autoRedefine/>
    <w:unhideWhenUsed/>
    <w:qFormat/>
    <w:uiPriority w:val="99"/>
    <w:pPr>
      <w:jc w:val="left"/>
    </w:pPr>
  </w:style>
  <w:style w:type="paragraph" w:styleId="18">
    <w:name w:val="Body Text 3"/>
    <w:basedOn w:val="1"/>
    <w:link w:val="58"/>
    <w:autoRedefine/>
    <w:qFormat/>
    <w:uiPriority w:val="0"/>
    <w:pPr>
      <w:spacing w:after="120"/>
    </w:pPr>
    <w:rPr>
      <w:kern w:val="0"/>
      <w:sz w:val="16"/>
      <w:szCs w:val="16"/>
    </w:rPr>
  </w:style>
  <w:style w:type="paragraph" w:styleId="19">
    <w:name w:val="Body Text"/>
    <w:basedOn w:val="1"/>
    <w:link w:val="59"/>
    <w:autoRedefine/>
    <w:qFormat/>
    <w:uiPriority w:val="0"/>
    <w:rPr>
      <w:rFonts w:ascii="仿宋_GB2312" w:eastAsia="仿宋_GB2312"/>
      <w:kern w:val="0"/>
      <w:sz w:val="24"/>
      <w:szCs w:val="20"/>
    </w:rPr>
  </w:style>
  <w:style w:type="paragraph" w:styleId="20">
    <w:name w:val="Body Text Indent"/>
    <w:basedOn w:val="1"/>
    <w:next w:val="21"/>
    <w:link w:val="60"/>
    <w:autoRedefine/>
    <w:qFormat/>
    <w:uiPriority w:val="0"/>
    <w:pPr>
      <w:ind w:left="765"/>
    </w:pPr>
    <w:rPr>
      <w:rFonts w:ascii="仿宋_GB2312" w:eastAsia="仿宋_GB2312"/>
      <w:kern w:val="0"/>
      <w:sz w:val="28"/>
      <w:szCs w:val="20"/>
    </w:rPr>
  </w:style>
  <w:style w:type="paragraph" w:styleId="21">
    <w:name w:val="envelope return"/>
    <w:basedOn w:val="1"/>
    <w:next w:val="12"/>
    <w:autoRedefine/>
    <w:unhideWhenUsed/>
    <w:qFormat/>
    <w:uiPriority w:val="99"/>
    <w:pPr>
      <w:snapToGrid w:val="0"/>
    </w:pPr>
    <w:rPr>
      <w:rFonts w:ascii="Arial" w:hAnsi="Arial"/>
    </w:rPr>
  </w:style>
  <w:style w:type="paragraph" w:styleId="22">
    <w:name w:val="Block Text"/>
    <w:basedOn w:val="1"/>
    <w:next w:val="19"/>
    <w:autoRedefine/>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23">
    <w:name w:val="Plain Text"/>
    <w:basedOn w:val="1"/>
    <w:link w:val="61"/>
    <w:autoRedefine/>
    <w:qFormat/>
    <w:uiPriority w:val="0"/>
    <w:rPr>
      <w:rFonts w:ascii="宋体" w:hAnsi="Courier New"/>
      <w:kern w:val="0"/>
      <w:sz w:val="20"/>
      <w:szCs w:val="21"/>
    </w:rPr>
  </w:style>
  <w:style w:type="paragraph" w:styleId="24">
    <w:name w:val="Date"/>
    <w:basedOn w:val="1"/>
    <w:next w:val="1"/>
    <w:link w:val="62"/>
    <w:autoRedefine/>
    <w:qFormat/>
    <w:uiPriority w:val="0"/>
    <w:rPr>
      <w:kern w:val="0"/>
      <w:sz w:val="24"/>
      <w:szCs w:val="20"/>
    </w:rPr>
  </w:style>
  <w:style w:type="paragraph" w:styleId="25">
    <w:name w:val="Body Text Indent 2"/>
    <w:basedOn w:val="1"/>
    <w:link w:val="63"/>
    <w:autoRedefine/>
    <w:qFormat/>
    <w:uiPriority w:val="0"/>
    <w:pPr>
      <w:spacing w:line="500" w:lineRule="exact"/>
      <w:ind w:firstLine="560" w:firstLineChars="200"/>
    </w:pPr>
    <w:rPr>
      <w:rFonts w:eastAsia="仿宋_GB2312"/>
      <w:kern w:val="0"/>
      <w:sz w:val="28"/>
      <w:szCs w:val="20"/>
    </w:rPr>
  </w:style>
  <w:style w:type="paragraph" w:styleId="26">
    <w:name w:val="Balloon Text"/>
    <w:basedOn w:val="1"/>
    <w:link w:val="64"/>
    <w:autoRedefine/>
    <w:semiHidden/>
    <w:qFormat/>
    <w:uiPriority w:val="0"/>
    <w:rPr>
      <w:kern w:val="0"/>
      <w:sz w:val="18"/>
      <w:szCs w:val="18"/>
    </w:rPr>
  </w:style>
  <w:style w:type="paragraph" w:styleId="27">
    <w:name w:val="footer"/>
    <w:basedOn w:val="1"/>
    <w:link w:val="65"/>
    <w:autoRedefine/>
    <w:qFormat/>
    <w:uiPriority w:val="99"/>
    <w:pPr>
      <w:tabs>
        <w:tab w:val="center" w:pos="4153"/>
        <w:tab w:val="right" w:pos="8306"/>
      </w:tabs>
      <w:snapToGrid w:val="0"/>
      <w:jc w:val="left"/>
    </w:pPr>
    <w:rPr>
      <w:kern w:val="0"/>
      <w:sz w:val="18"/>
      <w:szCs w:val="20"/>
    </w:rPr>
  </w:style>
  <w:style w:type="paragraph" w:styleId="28">
    <w:name w:val="header"/>
    <w:basedOn w:val="1"/>
    <w:link w:val="66"/>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autoRedefine/>
    <w:semiHidden/>
    <w:qFormat/>
    <w:uiPriority w:val="0"/>
    <w:rPr>
      <w:sz w:val="24"/>
    </w:rPr>
  </w:style>
  <w:style w:type="paragraph" w:styleId="30">
    <w:name w:val="List"/>
    <w:basedOn w:val="1"/>
    <w:autoRedefine/>
    <w:qFormat/>
    <w:uiPriority w:val="0"/>
    <w:pPr>
      <w:ind w:left="200" w:hanging="200" w:hangingChars="200"/>
    </w:pPr>
  </w:style>
  <w:style w:type="paragraph" w:styleId="31">
    <w:name w:val="Body Text Indent 3"/>
    <w:basedOn w:val="1"/>
    <w:next w:val="16"/>
    <w:link w:val="67"/>
    <w:autoRedefine/>
    <w:qFormat/>
    <w:uiPriority w:val="0"/>
    <w:pPr>
      <w:spacing w:after="120"/>
      <w:ind w:left="420" w:leftChars="200"/>
    </w:pPr>
    <w:rPr>
      <w:kern w:val="0"/>
      <w:sz w:val="16"/>
      <w:szCs w:val="16"/>
    </w:rPr>
  </w:style>
  <w:style w:type="paragraph" w:styleId="32">
    <w:name w:val="Body Text 2"/>
    <w:basedOn w:val="1"/>
    <w:link w:val="68"/>
    <w:autoRedefine/>
    <w:qFormat/>
    <w:uiPriority w:val="0"/>
    <w:pPr>
      <w:snapToGrid w:val="0"/>
    </w:pPr>
    <w:rPr>
      <w:b/>
      <w:bCs/>
      <w:kern w:val="0"/>
      <w:sz w:val="18"/>
    </w:rPr>
  </w:style>
  <w:style w:type="paragraph" w:styleId="33">
    <w:name w:val="Normal (Web)"/>
    <w:basedOn w:val="1"/>
    <w:autoRedefine/>
    <w:qFormat/>
    <w:uiPriority w:val="0"/>
    <w:pPr>
      <w:widowControl/>
      <w:spacing w:before="100" w:beforeAutospacing="1" w:after="100" w:afterAutospacing="1"/>
      <w:jc w:val="left"/>
    </w:pPr>
    <w:rPr>
      <w:rFonts w:ascii="宋体" w:hAnsi="宋体"/>
      <w:color w:val="000000"/>
      <w:kern w:val="0"/>
      <w:sz w:val="24"/>
    </w:rPr>
  </w:style>
  <w:style w:type="paragraph" w:styleId="34">
    <w:name w:val="annotation subject"/>
    <w:basedOn w:val="17"/>
    <w:next w:val="17"/>
    <w:link w:val="69"/>
    <w:autoRedefine/>
    <w:unhideWhenUsed/>
    <w:qFormat/>
    <w:uiPriority w:val="99"/>
    <w:rPr>
      <w:b/>
      <w:bCs/>
    </w:rPr>
  </w:style>
  <w:style w:type="paragraph" w:styleId="35">
    <w:name w:val="Body Text First Indent"/>
    <w:basedOn w:val="19"/>
    <w:next w:val="36"/>
    <w:link w:val="70"/>
    <w:autoRedefine/>
    <w:qFormat/>
    <w:uiPriority w:val="0"/>
    <w:pPr>
      <w:spacing w:after="120"/>
      <w:ind w:firstLine="420" w:firstLineChars="100"/>
    </w:pPr>
    <w:rPr>
      <w:rFonts w:ascii="Times New Roman" w:eastAsia="宋体"/>
      <w:szCs w:val="24"/>
    </w:rPr>
  </w:style>
  <w:style w:type="paragraph" w:styleId="36">
    <w:name w:val="Body Text First Indent 2"/>
    <w:basedOn w:val="20"/>
    <w:next w:val="1"/>
    <w:autoRedefine/>
    <w:unhideWhenUsed/>
    <w:qFormat/>
    <w:uiPriority w:val="99"/>
    <w:pPr>
      <w:ind w:firstLine="200" w:firstLineChars="200"/>
    </w:pPr>
  </w:style>
  <w:style w:type="table" w:styleId="38">
    <w:name w:val="Table Grid"/>
    <w:basedOn w:val="37"/>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Strong"/>
    <w:autoRedefine/>
    <w:qFormat/>
    <w:uiPriority w:val="0"/>
    <w:rPr>
      <w:b/>
      <w:bCs/>
    </w:rPr>
  </w:style>
  <w:style w:type="character" w:styleId="41">
    <w:name w:val="page number"/>
    <w:autoRedefine/>
    <w:qFormat/>
    <w:uiPriority w:val="0"/>
  </w:style>
  <w:style w:type="character" w:styleId="42">
    <w:name w:val="FollowedHyperlink"/>
    <w:autoRedefine/>
    <w:qFormat/>
    <w:uiPriority w:val="0"/>
    <w:rPr>
      <w:color w:val="800080"/>
      <w:u w:val="single"/>
    </w:rPr>
  </w:style>
  <w:style w:type="character" w:styleId="43">
    <w:name w:val="Emphasis"/>
    <w:basedOn w:val="39"/>
    <w:qFormat/>
    <w:uiPriority w:val="20"/>
    <w:rPr>
      <w:i/>
    </w:rPr>
  </w:style>
  <w:style w:type="character" w:styleId="44">
    <w:name w:val="Hyperlink"/>
    <w:autoRedefine/>
    <w:qFormat/>
    <w:uiPriority w:val="0"/>
    <w:rPr>
      <w:color w:val="0000FF"/>
      <w:u w:val="single"/>
    </w:rPr>
  </w:style>
  <w:style w:type="character" w:styleId="45">
    <w:name w:val="annotation reference"/>
    <w:autoRedefine/>
    <w:unhideWhenUsed/>
    <w:qFormat/>
    <w:uiPriority w:val="99"/>
    <w:rPr>
      <w:sz w:val="21"/>
      <w:szCs w:val="21"/>
    </w:rPr>
  </w:style>
  <w:style w:type="character" w:customStyle="1" w:styleId="46">
    <w:name w:val="标题 4 字符"/>
    <w:link w:val="6"/>
    <w:autoRedefine/>
    <w:qFormat/>
    <w:uiPriority w:val="0"/>
    <w:rPr>
      <w:rFonts w:ascii="Times New Roman" w:hAnsi="Times New Roman" w:eastAsia="新宋体" w:cs="Times New Roman"/>
      <w:sz w:val="30"/>
      <w:szCs w:val="21"/>
    </w:rPr>
  </w:style>
  <w:style w:type="character" w:customStyle="1" w:styleId="47">
    <w:name w:val="标题 1 字符"/>
    <w:link w:val="3"/>
    <w:autoRedefine/>
    <w:qFormat/>
    <w:uiPriority w:val="0"/>
    <w:rPr>
      <w:rFonts w:ascii="Times New Roman" w:hAnsi="Times New Roman" w:eastAsia="宋体" w:cs="Times New Roman"/>
      <w:b/>
      <w:bCs/>
      <w:kern w:val="44"/>
      <w:sz w:val="44"/>
      <w:szCs w:val="44"/>
    </w:rPr>
  </w:style>
  <w:style w:type="character" w:customStyle="1" w:styleId="48">
    <w:name w:val="标题 2 字符"/>
    <w:link w:val="4"/>
    <w:autoRedefine/>
    <w:qFormat/>
    <w:uiPriority w:val="0"/>
    <w:rPr>
      <w:rFonts w:ascii="Arial" w:hAnsi="Arial" w:eastAsia="黑体" w:cs="Times New Roman"/>
      <w:b/>
      <w:bCs/>
      <w:sz w:val="32"/>
      <w:szCs w:val="32"/>
    </w:rPr>
  </w:style>
  <w:style w:type="character" w:customStyle="1" w:styleId="49">
    <w:name w:val="标题 3 字符"/>
    <w:link w:val="5"/>
    <w:autoRedefine/>
    <w:qFormat/>
    <w:uiPriority w:val="0"/>
    <w:rPr>
      <w:rFonts w:ascii="Times New Roman" w:hAnsi="Times New Roman" w:eastAsia="宋体" w:cs="Times New Roman"/>
      <w:b/>
      <w:bCs/>
      <w:sz w:val="32"/>
      <w:szCs w:val="32"/>
    </w:rPr>
  </w:style>
  <w:style w:type="character" w:customStyle="1" w:styleId="50">
    <w:name w:val="标题 5 字符"/>
    <w:link w:val="7"/>
    <w:autoRedefine/>
    <w:qFormat/>
    <w:uiPriority w:val="0"/>
    <w:rPr>
      <w:rFonts w:ascii="Times New Roman" w:hAnsi="Times New Roman" w:eastAsia="宋体" w:cs="Times New Roman"/>
      <w:b/>
      <w:bCs/>
      <w:sz w:val="28"/>
      <w:szCs w:val="28"/>
    </w:rPr>
  </w:style>
  <w:style w:type="character" w:customStyle="1" w:styleId="51">
    <w:name w:val="标题 6 字符"/>
    <w:link w:val="8"/>
    <w:autoRedefine/>
    <w:qFormat/>
    <w:uiPriority w:val="0"/>
    <w:rPr>
      <w:rFonts w:ascii="Times New Roman" w:hAnsi="Times New Roman" w:eastAsia="宋体" w:cs="Times New Roman"/>
      <w:b/>
      <w:sz w:val="44"/>
      <w:szCs w:val="20"/>
    </w:rPr>
  </w:style>
  <w:style w:type="character" w:customStyle="1" w:styleId="52">
    <w:name w:val="标题 7 字符"/>
    <w:link w:val="9"/>
    <w:autoRedefine/>
    <w:qFormat/>
    <w:uiPriority w:val="0"/>
    <w:rPr>
      <w:rFonts w:ascii="Times New Roman" w:hAnsi="Times New Roman" w:eastAsia="宋体" w:cs="Times New Roman"/>
      <w:b/>
      <w:bCs/>
      <w:sz w:val="24"/>
      <w:szCs w:val="24"/>
    </w:rPr>
  </w:style>
  <w:style w:type="character" w:customStyle="1" w:styleId="53">
    <w:name w:val="标题 8 字符"/>
    <w:link w:val="10"/>
    <w:autoRedefine/>
    <w:qFormat/>
    <w:uiPriority w:val="0"/>
    <w:rPr>
      <w:rFonts w:ascii="Arial" w:hAnsi="Arial" w:eastAsia="黑体" w:cs="Times New Roman"/>
      <w:sz w:val="24"/>
      <w:szCs w:val="24"/>
    </w:rPr>
  </w:style>
  <w:style w:type="character" w:customStyle="1" w:styleId="54">
    <w:name w:val="标题 9 字符"/>
    <w:link w:val="11"/>
    <w:autoRedefine/>
    <w:qFormat/>
    <w:uiPriority w:val="0"/>
    <w:rPr>
      <w:rFonts w:ascii="Arial" w:hAnsi="Arial" w:eastAsia="黑体" w:cs="Times New Roman"/>
      <w:sz w:val="24"/>
      <w:szCs w:val="21"/>
    </w:rPr>
  </w:style>
  <w:style w:type="character" w:customStyle="1" w:styleId="55">
    <w:name w:val="正文缩进 字符"/>
    <w:link w:val="14"/>
    <w:autoRedefine/>
    <w:qFormat/>
    <w:uiPriority w:val="0"/>
    <w:rPr>
      <w:rFonts w:ascii="Times New Roman" w:hAnsi="Times New Roman" w:eastAsia="宋体" w:cs="Times New Roman"/>
      <w:kern w:val="0"/>
      <w:sz w:val="20"/>
      <w:szCs w:val="20"/>
    </w:rPr>
  </w:style>
  <w:style w:type="character" w:customStyle="1" w:styleId="56">
    <w:name w:val="文档结构图 字符"/>
    <w:link w:val="15"/>
    <w:autoRedefine/>
    <w:semiHidden/>
    <w:qFormat/>
    <w:uiPriority w:val="0"/>
    <w:rPr>
      <w:szCs w:val="24"/>
      <w:shd w:val="clear" w:color="auto" w:fill="000080"/>
    </w:rPr>
  </w:style>
  <w:style w:type="character" w:customStyle="1" w:styleId="57">
    <w:name w:val="批注文字 字符"/>
    <w:link w:val="17"/>
    <w:autoRedefine/>
    <w:qFormat/>
    <w:uiPriority w:val="99"/>
    <w:rPr>
      <w:kern w:val="2"/>
      <w:sz w:val="21"/>
      <w:szCs w:val="24"/>
    </w:rPr>
  </w:style>
  <w:style w:type="character" w:customStyle="1" w:styleId="58">
    <w:name w:val="正文文本 3 字符"/>
    <w:link w:val="18"/>
    <w:autoRedefine/>
    <w:qFormat/>
    <w:uiPriority w:val="0"/>
    <w:rPr>
      <w:rFonts w:ascii="Times New Roman" w:hAnsi="Times New Roman" w:eastAsia="宋体" w:cs="Times New Roman"/>
      <w:sz w:val="16"/>
      <w:szCs w:val="16"/>
    </w:rPr>
  </w:style>
  <w:style w:type="character" w:customStyle="1" w:styleId="59">
    <w:name w:val="正文文本 字符"/>
    <w:link w:val="19"/>
    <w:autoRedefine/>
    <w:qFormat/>
    <w:uiPriority w:val="0"/>
    <w:rPr>
      <w:rFonts w:ascii="仿宋_GB2312" w:hAnsi="Times New Roman" w:eastAsia="仿宋_GB2312" w:cs="Times New Roman"/>
      <w:sz w:val="24"/>
      <w:szCs w:val="20"/>
    </w:rPr>
  </w:style>
  <w:style w:type="character" w:customStyle="1" w:styleId="60">
    <w:name w:val="正文文本缩进 字符"/>
    <w:link w:val="20"/>
    <w:autoRedefine/>
    <w:qFormat/>
    <w:uiPriority w:val="0"/>
    <w:rPr>
      <w:rFonts w:ascii="仿宋_GB2312" w:hAnsi="Times New Roman" w:eastAsia="仿宋_GB2312" w:cs="Times New Roman"/>
      <w:sz w:val="28"/>
      <w:szCs w:val="20"/>
    </w:rPr>
  </w:style>
  <w:style w:type="character" w:customStyle="1" w:styleId="61">
    <w:name w:val="纯文本 字符"/>
    <w:link w:val="23"/>
    <w:autoRedefine/>
    <w:qFormat/>
    <w:uiPriority w:val="0"/>
    <w:rPr>
      <w:rFonts w:ascii="宋体" w:hAnsi="Courier New" w:eastAsia="宋体" w:cs="Courier New"/>
      <w:szCs w:val="21"/>
    </w:rPr>
  </w:style>
  <w:style w:type="character" w:customStyle="1" w:styleId="62">
    <w:name w:val="日期 字符"/>
    <w:link w:val="24"/>
    <w:autoRedefine/>
    <w:qFormat/>
    <w:uiPriority w:val="0"/>
    <w:rPr>
      <w:rFonts w:ascii="Times New Roman" w:hAnsi="Times New Roman" w:eastAsia="宋体" w:cs="Times New Roman"/>
      <w:sz w:val="24"/>
      <w:szCs w:val="20"/>
    </w:rPr>
  </w:style>
  <w:style w:type="character" w:customStyle="1" w:styleId="63">
    <w:name w:val="正文文本缩进 2 字符"/>
    <w:link w:val="25"/>
    <w:autoRedefine/>
    <w:qFormat/>
    <w:uiPriority w:val="0"/>
    <w:rPr>
      <w:rFonts w:ascii="Times New Roman" w:hAnsi="Times New Roman" w:eastAsia="仿宋_GB2312" w:cs="Times New Roman"/>
      <w:sz w:val="28"/>
      <w:szCs w:val="20"/>
    </w:rPr>
  </w:style>
  <w:style w:type="character" w:customStyle="1" w:styleId="64">
    <w:name w:val="批注框文本 字符"/>
    <w:link w:val="26"/>
    <w:autoRedefine/>
    <w:semiHidden/>
    <w:qFormat/>
    <w:uiPriority w:val="0"/>
    <w:rPr>
      <w:sz w:val="18"/>
      <w:szCs w:val="18"/>
    </w:rPr>
  </w:style>
  <w:style w:type="character" w:customStyle="1" w:styleId="65">
    <w:name w:val="页脚 字符"/>
    <w:link w:val="27"/>
    <w:autoRedefine/>
    <w:qFormat/>
    <w:uiPriority w:val="99"/>
    <w:rPr>
      <w:rFonts w:ascii="Times New Roman" w:hAnsi="Times New Roman" w:eastAsia="宋体" w:cs="Times New Roman"/>
      <w:sz w:val="18"/>
      <w:szCs w:val="20"/>
    </w:rPr>
  </w:style>
  <w:style w:type="character" w:customStyle="1" w:styleId="66">
    <w:name w:val="页眉 字符"/>
    <w:link w:val="28"/>
    <w:autoRedefine/>
    <w:qFormat/>
    <w:uiPriority w:val="0"/>
    <w:rPr>
      <w:rFonts w:ascii="Times New Roman" w:hAnsi="Times New Roman" w:eastAsia="宋体" w:cs="Times New Roman"/>
      <w:sz w:val="18"/>
      <w:szCs w:val="18"/>
    </w:rPr>
  </w:style>
  <w:style w:type="character" w:customStyle="1" w:styleId="67">
    <w:name w:val="正文文本缩进 3 字符"/>
    <w:link w:val="31"/>
    <w:autoRedefine/>
    <w:qFormat/>
    <w:uiPriority w:val="0"/>
    <w:rPr>
      <w:rFonts w:ascii="Times New Roman" w:hAnsi="Times New Roman" w:eastAsia="宋体" w:cs="Times New Roman"/>
      <w:sz w:val="16"/>
      <w:szCs w:val="16"/>
    </w:rPr>
  </w:style>
  <w:style w:type="character" w:customStyle="1" w:styleId="68">
    <w:name w:val="正文文本 2 字符"/>
    <w:link w:val="32"/>
    <w:autoRedefine/>
    <w:qFormat/>
    <w:uiPriority w:val="0"/>
    <w:rPr>
      <w:rFonts w:ascii="Times New Roman" w:hAnsi="Times New Roman" w:eastAsia="宋体" w:cs="Times New Roman"/>
      <w:b/>
      <w:bCs/>
      <w:sz w:val="18"/>
      <w:szCs w:val="24"/>
    </w:rPr>
  </w:style>
  <w:style w:type="character" w:customStyle="1" w:styleId="69">
    <w:name w:val="批注主题 字符"/>
    <w:link w:val="34"/>
    <w:autoRedefine/>
    <w:semiHidden/>
    <w:qFormat/>
    <w:uiPriority w:val="99"/>
    <w:rPr>
      <w:b/>
      <w:bCs/>
      <w:kern w:val="2"/>
      <w:sz w:val="21"/>
      <w:szCs w:val="24"/>
    </w:rPr>
  </w:style>
  <w:style w:type="character" w:customStyle="1" w:styleId="70">
    <w:name w:val="正文文本首行缩进 字符"/>
    <w:link w:val="35"/>
    <w:autoRedefine/>
    <w:qFormat/>
    <w:uiPriority w:val="0"/>
    <w:rPr>
      <w:rFonts w:ascii="Times New Roman" w:hAnsi="Times New Roman" w:eastAsia="宋体" w:cs="Times New Roman"/>
      <w:sz w:val="24"/>
      <w:szCs w:val="24"/>
    </w:rPr>
  </w:style>
  <w:style w:type="paragraph" w:customStyle="1" w:styleId="71">
    <w:name w:val="标题 21"/>
    <w:basedOn w:val="1"/>
    <w:next w:val="1"/>
    <w:autoRedefine/>
    <w:qFormat/>
    <w:uiPriority w:val="0"/>
    <w:pPr>
      <w:keepNext/>
      <w:keepLines/>
      <w:spacing w:before="260" w:after="260" w:line="416" w:lineRule="auto"/>
      <w:jc w:val="center"/>
      <w:outlineLvl w:val="1"/>
    </w:pPr>
    <w:rPr>
      <w:rFonts w:ascii="Arial" w:hAnsi="Arial" w:eastAsia="幼圆"/>
      <w:b/>
      <w:bCs/>
      <w:sz w:val="44"/>
      <w:szCs w:val="44"/>
    </w:rPr>
  </w:style>
  <w:style w:type="paragraph" w:customStyle="1" w:styleId="72">
    <w:name w:val="Default"/>
    <w:basedOn w:val="1"/>
    <w:autoRedefine/>
    <w:qFormat/>
    <w:uiPriority w:val="0"/>
    <w:pPr>
      <w:autoSpaceDE w:val="0"/>
      <w:autoSpaceDN w:val="0"/>
      <w:adjustRightInd w:val="0"/>
      <w:jc w:val="left"/>
    </w:pPr>
    <w:rPr>
      <w:rFonts w:ascii="Arial" w:hAnsi="Arial" w:eastAsia="PMingLiU"/>
      <w:kern w:val="0"/>
      <w:sz w:val="20"/>
      <w:szCs w:val="20"/>
    </w:rPr>
  </w:style>
  <w:style w:type="paragraph" w:customStyle="1" w:styleId="73">
    <w:name w:val="正文1"/>
    <w:next w:val="1"/>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4">
    <w:name w:val="style4"/>
    <w:basedOn w:val="1"/>
    <w:next w:val="75"/>
    <w:autoRedefine/>
    <w:qFormat/>
    <w:uiPriority w:val="0"/>
    <w:pPr>
      <w:widowControl/>
      <w:spacing w:before="280" w:after="280"/>
    </w:pPr>
    <w:rPr>
      <w:rFonts w:ascii="宋体"/>
      <w:sz w:val="18"/>
    </w:rPr>
  </w:style>
  <w:style w:type="paragraph" w:customStyle="1" w:styleId="75">
    <w:name w:val="2"/>
    <w:next w:val="1"/>
    <w:autoRedefine/>
    <w:qFormat/>
    <w:uiPriority w:val="0"/>
    <w:pPr>
      <w:widowControl w:val="0"/>
      <w:jc w:val="both"/>
    </w:pPr>
    <w:rPr>
      <w:rFonts w:ascii="Times New Roman" w:hAnsi="Times New Roman" w:eastAsia="宋体" w:cs="Times New Roman"/>
      <w:sz w:val="21"/>
      <w:szCs w:val="22"/>
      <w:lang w:val="en-US" w:eastAsia="zh-CN" w:bidi="ar-SA"/>
    </w:rPr>
  </w:style>
  <w:style w:type="character" w:customStyle="1" w:styleId="76">
    <w:name w:val="font11"/>
    <w:autoRedefine/>
    <w:qFormat/>
    <w:uiPriority w:val="0"/>
    <w:rPr>
      <w:rFonts w:hint="eastAsia" w:ascii="宋体" w:hAnsi="宋体" w:eastAsia="宋体" w:cs="宋体"/>
      <w:color w:val="000000"/>
      <w:sz w:val="24"/>
      <w:szCs w:val="24"/>
      <w:u w:val="none"/>
    </w:rPr>
  </w:style>
  <w:style w:type="character" w:customStyle="1" w:styleId="77">
    <w:name w:val="font41"/>
    <w:autoRedefine/>
    <w:qFormat/>
    <w:uiPriority w:val="0"/>
    <w:rPr>
      <w:rFonts w:hint="eastAsia" w:ascii="宋体" w:hAnsi="宋体" w:eastAsia="宋体" w:cs="宋体"/>
      <w:color w:val="FFCC00"/>
      <w:sz w:val="24"/>
      <w:szCs w:val="24"/>
      <w:u w:val="none"/>
    </w:rPr>
  </w:style>
  <w:style w:type="character" w:customStyle="1" w:styleId="78">
    <w:name w:val="样式 ssss + 宋体 五号1 Char"/>
    <w:link w:val="79"/>
    <w:autoRedefine/>
    <w:qFormat/>
    <w:uiPriority w:val="0"/>
    <w:rPr>
      <w:rFonts w:ascii="宋体" w:hAnsi="宋体" w:eastAsia="宋体" w:cs="Times New Roman"/>
      <w:sz w:val="24"/>
      <w:szCs w:val="24"/>
    </w:rPr>
  </w:style>
  <w:style w:type="paragraph" w:customStyle="1" w:styleId="79">
    <w:name w:val="样式 ssss + 宋体 五号1"/>
    <w:basedOn w:val="80"/>
    <w:link w:val="78"/>
    <w:autoRedefine/>
    <w:qFormat/>
    <w:uiPriority w:val="0"/>
    <w:rPr>
      <w:rFonts w:ascii="宋体" w:hAnsi="宋体"/>
    </w:rPr>
  </w:style>
  <w:style w:type="paragraph" w:customStyle="1" w:styleId="80">
    <w:name w:val="ssss"/>
    <w:basedOn w:val="1"/>
    <w:link w:val="81"/>
    <w:autoRedefine/>
    <w:qFormat/>
    <w:uiPriority w:val="0"/>
    <w:pPr>
      <w:spacing w:line="360" w:lineRule="auto"/>
      <w:ind w:firstLine="480" w:firstLineChars="200"/>
    </w:pPr>
    <w:rPr>
      <w:kern w:val="0"/>
      <w:sz w:val="24"/>
    </w:rPr>
  </w:style>
  <w:style w:type="character" w:customStyle="1" w:styleId="81">
    <w:name w:val="ssss Char1"/>
    <w:link w:val="80"/>
    <w:autoRedefine/>
    <w:qFormat/>
    <w:uiPriority w:val="0"/>
    <w:rPr>
      <w:rFonts w:ascii="Times New Roman" w:hAnsi="Times New Roman" w:eastAsia="宋体" w:cs="Times New Roman"/>
      <w:sz w:val="24"/>
      <w:szCs w:val="24"/>
    </w:rPr>
  </w:style>
  <w:style w:type="character" w:customStyle="1" w:styleId="82">
    <w:name w:val="font01"/>
    <w:autoRedefine/>
    <w:qFormat/>
    <w:uiPriority w:val="0"/>
    <w:rPr>
      <w:rFonts w:hint="eastAsia" w:ascii="宋体" w:hAnsi="宋体" w:eastAsia="宋体" w:cs="宋体"/>
      <w:color w:val="FF0000"/>
      <w:sz w:val="24"/>
      <w:szCs w:val="24"/>
      <w:u w:val="none"/>
    </w:rPr>
  </w:style>
  <w:style w:type="character" w:customStyle="1" w:styleId="83">
    <w:name w:val="point_normal1"/>
    <w:autoRedefine/>
    <w:qFormat/>
    <w:uiPriority w:val="0"/>
    <w:rPr>
      <w:rFonts w:hint="default" w:ascii="Arial" w:hAnsi="Arial" w:cs="Arial"/>
      <w:sz w:val="16"/>
      <w:szCs w:val="16"/>
    </w:rPr>
  </w:style>
  <w:style w:type="character" w:customStyle="1" w:styleId="84">
    <w:name w:val="列表段落 字符1"/>
    <w:link w:val="85"/>
    <w:autoRedefine/>
    <w:qFormat/>
    <w:locked/>
    <w:uiPriority w:val="99"/>
  </w:style>
  <w:style w:type="paragraph" w:styleId="85">
    <w:name w:val="List Paragraph"/>
    <w:basedOn w:val="1"/>
    <w:link w:val="84"/>
    <w:autoRedefine/>
    <w:qFormat/>
    <w:uiPriority w:val="99"/>
    <w:pPr>
      <w:ind w:firstLine="420" w:firstLineChars="200"/>
    </w:pPr>
    <w:rPr>
      <w:kern w:val="0"/>
      <w:sz w:val="20"/>
      <w:szCs w:val="20"/>
    </w:rPr>
  </w:style>
  <w:style w:type="character" w:customStyle="1" w:styleId="86">
    <w:name w:val="文档结构图 Char1"/>
    <w:autoRedefine/>
    <w:semiHidden/>
    <w:qFormat/>
    <w:uiPriority w:val="99"/>
    <w:rPr>
      <w:rFonts w:ascii="宋体" w:hAnsi="Times New Roman" w:eastAsia="宋体" w:cs="Times New Roman"/>
      <w:sz w:val="18"/>
      <w:szCs w:val="18"/>
    </w:rPr>
  </w:style>
  <w:style w:type="character" w:customStyle="1" w:styleId="87">
    <w:name w:val="普通正文 Char"/>
    <w:link w:val="88"/>
    <w:autoRedefine/>
    <w:qFormat/>
    <w:uiPriority w:val="0"/>
    <w:rPr>
      <w:rFonts w:ascii="Arial" w:hAnsi="Arial"/>
      <w:sz w:val="24"/>
      <w:szCs w:val="24"/>
    </w:rPr>
  </w:style>
  <w:style w:type="paragraph" w:customStyle="1" w:styleId="88">
    <w:name w:val="普通正文"/>
    <w:basedOn w:val="1"/>
    <w:link w:val="87"/>
    <w:autoRedefine/>
    <w:qFormat/>
    <w:uiPriority w:val="0"/>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89">
    <w:name w:val="FA正文 Char"/>
    <w:link w:val="90"/>
    <w:autoRedefine/>
    <w:qFormat/>
    <w:uiPriority w:val="0"/>
    <w:rPr>
      <w:rFonts w:ascii="宋体" w:hAnsi="宋体" w:eastAsia="宋体" w:cs="Times New Roman"/>
      <w:sz w:val="28"/>
      <w:szCs w:val="28"/>
    </w:rPr>
  </w:style>
  <w:style w:type="paragraph" w:customStyle="1" w:styleId="90">
    <w:name w:val="FA正文"/>
    <w:basedOn w:val="1"/>
    <w:link w:val="89"/>
    <w:autoRedefine/>
    <w:qFormat/>
    <w:uiPriority w:val="0"/>
    <w:pPr>
      <w:tabs>
        <w:tab w:val="left" w:pos="3375"/>
      </w:tabs>
      <w:spacing w:line="440" w:lineRule="atLeast"/>
      <w:ind w:firstLine="538" w:firstLineChars="192"/>
    </w:pPr>
    <w:rPr>
      <w:rFonts w:ascii="宋体" w:hAnsi="宋体"/>
      <w:kern w:val="0"/>
      <w:sz w:val="28"/>
      <w:szCs w:val="28"/>
    </w:rPr>
  </w:style>
  <w:style w:type="character" w:customStyle="1" w:styleId="91">
    <w:name w:val="正文缩进2格 Char"/>
    <w:link w:val="92"/>
    <w:autoRedefine/>
    <w:qFormat/>
    <w:uiPriority w:val="0"/>
    <w:rPr>
      <w:rFonts w:ascii="仿宋_GB2312" w:hAnsi="宋体" w:eastAsia="仿宋_GB2312" w:cs="Times New Roman"/>
      <w:sz w:val="31"/>
      <w:szCs w:val="28"/>
    </w:rPr>
  </w:style>
  <w:style w:type="paragraph" w:customStyle="1" w:styleId="92">
    <w:name w:val="正文缩进2格"/>
    <w:basedOn w:val="1"/>
    <w:link w:val="91"/>
    <w:autoRedefine/>
    <w:qFormat/>
    <w:uiPriority w:val="0"/>
    <w:pPr>
      <w:spacing w:line="600" w:lineRule="exact"/>
      <w:ind w:firstLine="639" w:firstLineChars="206"/>
    </w:pPr>
    <w:rPr>
      <w:rFonts w:ascii="仿宋_GB2312" w:hAnsi="宋体" w:eastAsia="仿宋_GB2312"/>
      <w:kern w:val="0"/>
      <w:sz w:val="31"/>
      <w:szCs w:val="28"/>
    </w:rPr>
  </w:style>
  <w:style w:type="character" w:customStyle="1" w:styleId="93">
    <w:name w:val="cn_text1"/>
    <w:autoRedefine/>
    <w:qFormat/>
    <w:uiPriority w:val="0"/>
    <w:rPr>
      <w:rFonts w:hint="default" w:ascii="ˎ̥" w:hAnsi="ˎ̥"/>
      <w:color w:val="003399"/>
      <w:spacing w:val="15"/>
      <w:sz w:val="18"/>
      <w:szCs w:val="18"/>
    </w:rPr>
  </w:style>
  <w:style w:type="character" w:customStyle="1" w:styleId="94">
    <w:name w:val="ssss Char"/>
    <w:autoRedefine/>
    <w:qFormat/>
    <w:uiPriority w:val="0"/>
    <w:rPr>
      <w:rFonts w:eastAsia="宋体"/>
      <w:kern w:val="2"/>
      <w:sz w:val="24"/>
      <w:szCs w:val="24"/>
      <w:lang w:val="en-US" w:eastAsia="zh-CN" w:bidi="ar-SA"/>
    </w:rPr>
  </w:style>
  <w:style w:type="character" w:customStyle="1" w:styleId="95">
    <w:name w:val="标题 4 Char1"/>
    <w:autoRedefine/>
    <w:qFormat/>
    <w:uiPriority w:val="0"/>
    <w:rPr>
      <w:rFonts w:ascii="Arial" w:hAnsi="Arial" w:eastAsia="黑体"/>
      <w:b/>
      <w:bCs/>
      <w:kern w:val="2"/>
      <w:sz w:val="28"/>
      <w:szCs w:val="28"/>
      <w:lang w:val="en-US" w:eastAsia="zh-CN" w:bidi="ar-SA"/>
    </w:rPr>
  </w:style>
  <w:style w:type="character" w:customStyle="1" w:styleId="96">
    <w:name w:val="列表段落 字符"/>
    <w:autoRedefine/>
    <w:qFormat/>
    <w:uiPriority w:val="34"/>
    <w:rPr>
      <w:rFonts w:ascii="Calibri" w:hAnsi="Calibri"/>
      <w:kern w:val="2"/>
      <w:sz w:val="21"/>
      <w:szCs w:val="22"/>
    </w:rPr>
  </w:style>
  <w:style w:type="character" w:customStyle="1" w:styleId="97">
    <w:name w:val="批注框文本 Char1"/>
    <w:autoRedefine/>
    <w:semiHidden/>
    <w:qFormat/>
    <w:uiPriority w:val="99"/>
    <w:rPr>
      <w:rFonts w:ascii="Times New Roman" w:hAnsi="Times New Roman" w:eastAsia="宋体" w:cs="Times New Roman"/>
      <w:sz w:val="18"/>
      <w:szCs w:val="18"/>
    </w:rPr>
  </w:style>
  <w:style w:type="paragraph" w:customStyle="1" w:styleId="98">
    <w:name w:val="样式 正文文本缩进 3 + 四号"/>
    <w:basedOn w:val="31"/>
    <w:autoRedefine/>
    <w:qFormat/>
    <w:uiPriority w:val="0"/>
    <w:pPr>
      <w:spacing w:after="0" w:line="360" w:lineRule="auto"/>
      <w:ind w:left="0" w:leftChars="0" w:firstLine="437"/>
    </w:pPr>
    <w:rPr>
      <w:sz w:val="24"/>
      <w:szCs w:val="21"/>
    </w:rPr>
  </w:style>
  <w:style w:type="paragraph" w:customStyle="1" w:styleId="99">
    <w:name w:val="标题1"/>
    <w:basedOn w:val="1"/>
    <w:next w:val="1"/>
    <w:autoRedefine/>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00">
    <w:name w:val="正文缩进1"/>
    <w:basedOn w:val="1"/>
    <w:autoRedefine/>
    <w:qFormat/>
    <w:uiPriority w:val="0"/>
    <w:pPr>
      <w:widowControl/>
      <w:ind w:firstLine="420"/>
      <w:jc w:val="left"/>
    </w:pPr>
    <w:rPr>
      <w:kern w:val="0"/>
    </w:rPr>
  </w:style>
  <w:style w:type="paragraph" w:customStyle="1" w:styleId="101">
    <w:name w:val="样式 宋体 四号 黑色 左侧:  0.74 厘米 首行缩进:  0.74 厘米 行距: 1.5 倍行距"/>
    <w:basedOn w:val="1"/>
    <w:autoRedefine/>
    <w:qFormat/>
    <w:uiPriority w:val="0"/>
    <w:pPr>
      <w:spacing w:line="360" w:lineRule="auto"/>
      <w:ind w:firstLine="420"/>
    </w:pPr>
    <w:rPr>
      <w:rFonts w:ascii="宋体"/>
      <w:color w:val="000000"/>
      <w:sz w:val="24"/>
      <w:szCs w:val="21"/>
    </w:rPr>
  </w:style>
  <w:style w:type="paragraph" w:customStyle="1" w:styleId="102">
    <w:name w:val="无间隔1"/>
    <w:autoRedefine/>
    <w:qFormat/>
    <w:uiPriority w:val="0"/>
    <w:rPr>
      <w:rFonts w:ascii="Times New Roman" w:hAnsi="Times New Roman" w:eastAsia="宋体" w:cs="Calibri"/>
      <w:sz w:val="22"/>
      <w:lang w:val="en-US" w:eastAsia="zh-CN" w:bidi="ar-SA"/>
    </w:rPr>
  </w:style>
  <w:style w:type="paragraph" w:customStyle="1" w:styleId="103">
    <w:name w:val="样式 样式 ssss + 宋体 五号 + 首行缩进:  2 字符"/>
    <w:basedOn w:val="104"/>
    <w:autoRedefine/>
    <w:qFormat/>
    <w:uiPriority w:val="0"/>
    <w:pPr>
      <w:ind w:firstLine="480"/>
    </w:pPr>
  </w:style>
  <w:style w:type="paragraph" w:customStyle="1" w:styleId="104">
    <w:name w:val="样式 ssss + 宋体 五号"/>
    <w:basedOn w:val="80"/>
    <w:autoRedefine/>
    <w:qFormat/>
    <w:uiPriority w:val="0"/>
    <w:pPr>
      <w:ind w:firstLine="420"/>
    </w:pPr>
    <w:rPr>
      <w:rFonts w:ascii="宋体" w:hAnsi="宋体" w:cs="宋体"/>
      <w:szCs w:val="20"/>
    </w:rPr>
  </w:style>
  <w:style w:type="paragraph" w:customStyle="1" w:styleId="105">
    <w:name w:val="Char Char Char Char"/>
    <w:basedOn w:val="1"/>
    <w:autoRedefine/>
    <w:qFormat/>
    <w:uiPriority w:val="0"/>
    <w:rPr>
      <w:rFonts w:ascii="Tahoma" w:hAnsi="Tahoma"/>
      <w:sz w:val="24"/>
      <w:szCs w:val="20"/>
    </w:rPr>
  </w:style>
  <w:style w:type="paragraph" w:customStyle="1" w:styleId="106">
    <w:name w:val="2cxsplas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07">
    <w:name w:val="ec_msonormal"/>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108">
    <w:name w:val="标题-----3"/>
    <w:basedOn w:val="5"/>
    <w:autoRedefine/>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Char Char Char"/>
    <w:basedOn w:val="1"/>
    <w:autoRedefine/>
    <w:qFormat/>
    <w:uiPriority w:val="0"/>
  </w:style>
  <w:style w:type="paragraph" w:customStyle="1" w:styleId="110">
    <w:name w:val="表格正文"/>
    <w:basedOn w:val="1"/>
    <w:autoRedefine/>
    <w:qFormat/>
    <w:uiPriority w:val="0"/>
    <w:pPr>
      <w:spacing w:line="360" w:lineRule="auto"/>
      <w:jc w:val="left"/>
    </w:pPr>
    <w:rPr>
      <w:rFonts w:ascii="Calibri" w:hAnsi="Calibri"/>
      <w:color w:val="000000"/>
      <w:szCs w:val="28"/>
    </w:rPr>
  </w:style>
  <w:style w:type="paragraph" w:customStyle="1" w:styleId="111">
    <w:name w:val="Char Char Char Char1"/>
    <w:basedOn w:val="1"/>
    <w:autoRedefine/>
    <w:qFormat/>
    <w:uiPriority w:val="0"/>
    <w:rPr>
      <w:rFonts w:ascii="Tahoma" w:hAnsi="Tahoma"/>
      <w:sz w:val="24"/>
      <w:szCs w:val="20"/>
    </w:rPr>
  </w:style>
  <w:style w:type="paragraph" w:customStyle="1" w:styleId="112">
    <w:name w:val="Char Char Char"/>
    <w:basedOn w:val="1"/>
    <w:autoRedefine/>
    <w:qFormat/>
    <w:uiPriority w:val="0"/>
    <w:rPr>
      <w:rFonts w:ascii="Tahoma" w:hAnsi="Tahoma"/>
      <w:sz w:val="24"/>
      <w:szCs w:val="20"/>
    </w:rPr>
  </w:style>
  <w:style w:type="paragraph" w:customStyle="1" w:styleId="113">
    <w:name w:val="样式 ssss + 居中"/>
    <w:basedOn w:val="80"/>
    <w:autoRedefine/>
    <w:qFormat/>
    <w:uiPriority w:val="0"/>
    <w:pPr>
      <w:jc w:val="center"/>
    </w:pPr>
    <w:rPr>
      <w:rFonts w:cs="宋体"/>
      <w:szCs w:val="20"/>
    </w:rPr>
  </w:style>
  <w:style w:type="paragraph" w:customStyle="1" w:styleId="114">
    <w:name w:val="msonormalcxsplas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15">
    <w:name w:val="Char"/>
    <w:basedOn w:val="1"/>
    <w:autoRedefine/>
    <w:qFormat/>
    <w:uiPriority w:val="0"/>
    <w:rPr>
      <w:rFonts w:ascii="Tahoma" w:hAnsi="Tahoma"/>
      <w:sz w:val="24"/>
      <w:szCs w:val="20"/>
    </w:rPr>
  </w:style>
  <w:style w:type="paragraph" w:customStyle="1" w:styleId="116">
    <w:name w:val="xl25"/>
    <w:basedOn w:val="1"/>
    <w:autoRedefine/>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kern w:val="0"/>
      <w:sz w:val="18"/>
      <w:szCs w:val="18"/>
    </w:rPr>
  </w:style>
  <w:style w:type="paragraph" w:customStyle="1" w:styleId="117">
    <w:name w:val="样式8"/>
    <w:basedOn w:val="8"/>
    <w:autoRedefine/>
    <w:qFormat/>
    <w:uiPriority w:val="0"/>
    <w:pPr>
      <w:tabs>
        <w:tab w:val="left" w:pos="1152"/>
      </w:tabs>
    </w:pPr>
  </w:style>
  <w:style w:type="paragraph" w:customStyle="1" w:styleId="118">
    <w:name w:val="标题------4"/>
    <w:basedOn w:val="6"/>
    <w:autoRedefine/>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19">
    <w:name w:val="Char Char 字元 字元 字元 Char Char Char Char"/>
    <w:basedOn w:val="1"/>
    <w:autoRedefine/>
    <w:qFormat/>
    <w:uiPriority w:val="0"/>
    <w:pPr>
      <w:adjustRightInd w:val="0"/>
      <w:spacing w:line="360" w:lineRule="auto"/>
    </w:pPr>
    <w:rPr>
      <w:kern w:val="0"/>
      <w:sz w:val="24"/>
      <w:szCs w:val="20"/>
    </w:rPr>
  </w:style>
  <w:style w:type="paragraph" w:customStyle="1" w:styleId="120">
    <w:name w:val="Char Char Char Char Char Char Char Char Char Char Char Char Char1"/>
    <w:basedOn w:val="1"/>
    <w:autoRedefine/>
    <w:qFormat/>
    <w:uiPriority w:val="0"/>
    <w:rPr>
      <w:sz w:val="24"/>
    </w:rPr>
  </w:style>
  <w:style w:type="paragraph" w:customStyle="1" w:styleId="121">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2">
    <w:name w:val="表格"/>
    <w:basedOn w:val="1"/>
    <w:autoRedefine/>
    <w:qFormat/>
    <w:uiPriority w:val="0"/>
    <w:rPr>
      <w:rFonts w:ascii="Arial" w:hAnsi="Arial"/>
      <w:sz w:val="24"/>
    </w:rPr>
  </w:style>
  <w:style w:type="paragraph" w:customStyle="1" w:styleId="123">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样式1"/>
    <w:basedOn w:val="1"/>
    <w:autoRedefine/>
    <w:qFormat/>
    <w:uiPriority w:val="0"/>
    <w:pPr>
      <w:spacing w:before="120" w:after="120" w:line="360" w:lineRule="auto"/>
      <w:ind w:firstLine="480" w:firstLineChars="200"/>
    </w:pPr>
    <w:rPr>
      <w:sz w:val="24"/>
      <w:szCs w:val="20"/>
    </w:rPr>
  </w:style>
  <w:style w:type="paragraph" w:customStyle="1" w:styleId="125">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
    <w:name w:val="Char Char1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7">
    <w:name w:val="Char Char Char Char Char Char Char Char Char Char"/>
    <w:basedOn w:val="1"/>
    <w:autoRedefine/>
    <w:qFormat/>
    <w:uiPriority w:val="0"/>
    <w:rPr>
      <w:rFonts w:ascii="Tahoma" w:hAnsi="Tahoma"/>
      <w:sz w:val="24"/>
      <w:szCs w:val="20"/>
    </w:rPr>
  </w:style>
  <w:style w:type="paragraph" w:customStyle="1" w:styleId="128">
    <w:name w:val="Char1"/>
    <w:basedOn w:val="1"/>
    <w:autoRedefine/>
    <w:qFormat/>
    <w:uiPriority w:val="0"/>
    <w:pPr>
      <w:tabs>
        <w:tab w:val="left" w:pos="360"/>
      </w:tabs>
    </w:pPr>
    <w:rPr>
      <w:sz w:val="24"/>
    </w:rPr>
  </w:style>
  <w:style w:type="paragraph" w:customStyle="1" w:styleId="129">
    <w:name w:val="Header2"/>
    <w:basedOn w:val="1"/>
    <w:autoRedefine/>
    <w:qFormat/>
    <w:uiPriority w:val="0"/>
    <w:pPr>
      <w:numPr>
        <w:ilvl w:val="0"/>
        <w:numId w:val="1"/>
      </w:numPr>
    </w:pPr>
  </w:style>
  <w:style w:type="paragraph" w:customStyle="1" w:styleId="130">
    <w:name w:val="普通(网站) Char"/>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131">
    <w:name w:val="2cxspmidd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32">
    <w:name w:val="DAS正文"/>
    <w:basedOn w:val="1"/>
    <w:autoRedefine/>
    <w:qFormat/>
    <w:uiPriority w:val="0"/>
    <w:pPr>
      <w:spacing w:line="360" w:lineRule="auto"/>
      <w:ind w:right="181" w:firstLine="480" w:firstLineChars="200"/>
    </w:pPr>
    <w:rPr>
      <w:rFonts w:ascii="Verdana" w:hAnsi="Verdana"/>
      <w:sz w:val="24"/>
      <w:szCs w:val="20"/>
    </w:rPr>
  </w:style>
  <w:style w:type="table" w:customStyle="1" w:styleId="133">
    <w:name w:val="网格型1"/>
    <w:basedOn w:val="37"/>
    <w:autoRedefine/>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4">
    <w:name w:val="font51"/>
    <w:autoRedefine/>
    <w:qFormat/>
    <w:uiPriority w:val="0"/>
    <w:rPr>
      <w:rFonts w:hint="default" w:ascii="Times New Roman" w:hAnsi="Times New Roman" w:cs="Times New Roman"/>
      <w:color w:val="000000"/>
      <w:sz w:val="20"/>
      <w:szCs w:val="20"/>
      <w:u w:val="none"/>
    </w:rPr>
  </w:style>
  <w:style w:type="character" w:customStyle="1" w:styleId="135">
    <w:name w:val="font61"/>
    <w:autoRedefine/>
    <w:qFormat/>
    <w:uiPriority w:val="0"/>
    <w:rPr>
      <w:rFonts w:hint="default" w:ascii="Times New Roman" w:hAnsi="Times New Roman" w:cs="Times New Roman"/>
      <w:color w:val="000000"/>
      <w:sz w:val="21"/>
      <w:szCs w:val="21"/>
      <w:u w:val="none"/>
    </w:rPr>
  </w:style>
  <w:style w:type="character" w:customStyle="1" w:styleId="136">
    <w:name w:val="font71"/>
    <w:autoRedefine/>
    <w:qFormat/>
    <w:uiPriority w:val="0"/>
    <w:rPr>
      <w:rFonts w:hint="eastAsia" w:ascii="宋体" w:hAnsi="宋体" w:eastAsia="宋体" w:cs="宋体"/>
      <w:color w:val="000000"/>
      <w:sz w:val="22"/>
      <w:szCs w:val="22"/>
      <w:u w:val="none"/>
    </w:rPr>
  </w:style>
  <w:style w:type="paragraph" w:customStyle="1" w:styleId="137">
    <w:name w:val="表格CXH"/>
    <w:basedOn w:val="1"/>
    <w:autoRedefine/>
    <w:qFormat/>
    <w:uiPriority w:val="0"/>
    <w:pPr>
      <w:spacing w:line="276" w:lineRule="auto"/>
    </w:pPr>
    <w:rPr>
      <w:rFonts w:ascii="等线" w:hAnsi="等线"/>
    </w:rPr>
  </w:style>
  <w:style w:type="paragraph" w:customStyle="1" w:styleId="138">
    <w:name w:val="段"/>
    <w:next w:val="139"/>
    <w:autoRedefine/>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customStyle="1" w:styleId="139">
    <w:name w:val="正文 A"/>
    <w:next w:val="138"/>
    <w:autoRedefine/>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140">
    <w:name w:val="cf01"/>
    <w:autoRedefine/>
    <w:qFormat/>
    <w:uiPriority w:val="0"/>
    <w:rPr>
      <w:rFonts w:hint="eastAsia" w:ascii="Microsoft YaHei UI" w:hAnsi="Microsoft YaHei UI" w:eastAsia="Microsoft YaHei UI"/>
      <w:sz w:val="18"/>
      <w:szCs w:val="18"/>
    </w:rPr>
  </w:style>
  <w:style w:type="paragraph" w:customStyle="1" w:styleId="141">
    <w:name w:val="Table Text"/>
    <w:basedOn w:val="1"/>
    <w:autoRedefine/>
    <w:semiHidden/>
    <w:qFormat/>
    <w:uiPriority w:val="0"/>
    <w:pPr>
      <w:widowControl/>
      <w:jc w:val="left"/>
    </w:pPr>
    <w:rPr>
      <w:rFonts w:eastAsia="Times New Roman"/>
      <w:color w:val="000000"/>
      <w:sz w:val="19"/>
      <w:szCs w:val="19"/>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3414</Words>
  <Characters>19462</Characters>
  <Lines>162</Lines>
  <Paragraphs>45</Paragraphs>
  <TotalTime>69</TotalTime>
  <ScaleCrop>false</ScaleCrop>
  <LinksUpToDate>false</LinksUpToDate>
  <CharactersWithSpaces>22831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2024-01-19T00:19:00Z</dcterms:created>
  <dc:creator>User</dc:creator>
  <cp:lastModifiedBy>Administrator</cp:lastModifiedBy>
  <cp:lastPrinted>2023-07-28T06:59:00Z</cp:lastPrinted>
  <dcterms:modified xsi:type="dcterms:W3CDTF">2024-02-06T03:34:38Z</dcterms:modified>
  <dc:title>南通市Ⅹ项目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5703D864B0C34C7E951BE3AE91C9BEAC_13</vt:lpwstr>
  </property>
  <property fmtid="{D5CDD505-2E9C-101B-9397-08002B2CF9AE}" pid="4" name="ClassificationContentMarkingHeaderShapeIds">
    <vt:lpwstr>3,4,5</vt:lpwstr>
  </property>
  <property fmtid="{D5CDD505-2E9C-101B-9397-08002B2CF9AE}" pid="5" name="ClassificationContentMarkingHeaderFontProps">
    <vt:lpwstr>#000000,8,arial</vt:lpwstr>
  </property>
  <property fmtid="{D5CDD505-2E9C-101B-9397-08002B2CF9AE}" pid="6" name="ClassificationContentMarkingHeaderText">
    <vt:lpwstr>KONE Internal</vt:lpwstr>
  </property>
</Properties>
</file>